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b/>
          <w:bCs/>
          <w:sz w:val="32"/>
          <w:szCs w:val="32"/>
        </w:rPr>
      </w:pPr>
      <w:bookmarkStart w:id="1" w:name="_GoBack"/>
      <w:bookmarkEnd w:id="1"/>
    </w:p>
    <w:p>
      <w:pPr>
        <w:widowControl/>
        <w:jc w:val="left"/>
        <w:rPr>
          <w:rFonts w:ascii="黑体" w:hAnsi="黑体" w:eastAsia="黑体"/>
          <w:b/>
          <w:bCs/>
          <w:sz w:val="32"/>
          <w:szCs w:val="32"/>
        </w:rPr>
      </w:pPr>
      <w:r>
        <w:rPr>
          <w:sz w:val="18"/>
          <w:szCs w:val="18"/>
        </w:rPr>
        <w:drawing>
          <wp:inline distT="0" distB="0" distL="0" distR="0">
            <wp:extent cx="1977390" cy="1345565"/>
            <wp:effectExtent l="0" t="0" r="3810" b="6985"/>
            <wp:docPr id="59" name="图片 59" descr="https://gss0.bdstatic.com/-4o3dSag_xI4khGkpoWK1HF6hhy/baike/c0%3Dbaike80%2C5%2C5%2C80%2C26/sign=8d8706a7d72a6059461de948495d5ffe/94cad1c8a786c917a3b6b857c93d70cf3bc7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ttps://gss0.bdstatic.com/-4o3dSag_xI4khGkpoWK1HF6hhy/baike/c0%3Dbaike80%2C5%2C5%2C80%2C26/sign=8d8706a7d72a6059461de948495d5ffe/94cad1c8a786c917a3b6b857c93d70cf3bc757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978117" cy="1346134"/>
                    </a:xfrm>
                    <a:prstGeom prst="rect">
                      <a:avLst/>
                    </a:prstGeom>
                    <a:noFill/>
                    <a:ln>
                      <a:noFill/>
                    </a:ln>
                  </pic:spPr>
                </pic:pic>
              </a:graphicData>
            </a:graphic>
          </wp:inline>
        </w:drawing>
      </w:r>
      <w:r>
        <w:rPr>
          <w:rFonts w:hint="eastAsia" w:ascii="黑体" w:hAnsi="黑体" w:eastAsia="黑体"/>
          <w:b/>
          <w:bCs/>
          <w:sz w:val="32"/>
          <w:szCs w:val="32"/>
        </w:rPr>
        <w:t xml:space="preserve">                   </w:t>
      </w:r>
      <w:r>
        <w:rPr>
          <w:rFonts w:ascii="Times New Roman" w:hAnsi="Times New Roman" w:eastAsia="黑体" w:cs="Times New Roman"/>
          <w:b/>
          <w:sz w:val="32"/>
          <w:szCs w:val="32"/>
        </w:rPr>
        <w:drawing>
          <wp:inline distT="0" distB="0" distL="0" distR="0">
            <wp:extent cx="1397000" cy="1397000"/>
            <wp:effectExtent l="0" t="0" r="0" b="0"/>
            <wp:docPr id="56" name="图片 56" descr="C:\Users\QIANGL~1\AppData\Local\Temp\Rar$DRa7828.14955\机能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QIANGL~1\AppData\Local\Temp\Rar$DRa7828.14955\机能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97297" cy="1397297"/>
                    </a:xfrm>
                    <a:prstGeom prst="rect">
                      <a:avLst/>
                    </a:prstGeom>
                    <a:noFill/>
                    <a:ln>
                      <a:noFill/>
                    </a:ln>
                  </pic:spPr>
                </pic:pic>
              </a:graphicData>
            </a:graphic>
          </wp:inline>
        </w:drawing>
      </w:r>
    </w:p>
    <w:p>
      <w:pPr>
        <w:widowControl/>
        <w:jc w:val="left"/>
        <w:rPr>
          <w:rFonts w:ascii="黑体" w:hAnsi="黑体" w:eastAsia="黑体"/>
          <w:b/>
          <w:bCs/>
          <w:sz w:val="32"/>
          <w:szCs w:val="32"/>
        </w:rPr>
      </w:pPr>
    </w:p>
    <w:p>
      <w:pPr>
        <w:framePr w:w="8746" w:h="7475" w:hRule="exact" w:wrap="around" w:vAnchor="page" w:hAnchor="page" w:x="1664" w:y="6556"/>
        <w:autoSpaceDE w:val="0"/>
        <w:autoSpaceDN w:val="0"/>
        <w:adjustRightInd w:val="0"/>
        <w:jc w:val="center"/>
        <w:rPr>
          <w:rFonts w:ascii="华文中宋" w:hAnsi="华文中宋" w:eastAsia="华文中宋" w:cs="黑体"/>
          <w:sz w:val="72"/>
          <w:szCs w:val="72"/>
        </w:rPr>
      </w:pPr>
      <w:r>
        <w:rPr>
          <w:rFonts w:hint="eastAsia" w:ascii="华文中宋" w:hAnsi="华文中宋" w:eastAsia="华文中宋" w:cs="黑体"/>
          <w:sz w:val="72"/>
          <w:szCs w:val="72"/>
        </w:rPr>
        <w:t>本科教学工作审核评估</w:t>
      </w:r>
    </w:p>
    <w:p>
      <w:pPr>
        <w:framePr w:w="8746" w:h="7475" w:hRule="exact" w:wrap="around" w:vAnchor="page" w:hAnchor="page" w:x="1664" w:y="6556"/>
        <w:autoSpaceDE w:val="0"/>
        <w:autoSpaceDN w:val="0"/>
        <w:adjustRightInd w:val="0"/>
        <w:jc w:val="center"/>
        <w:rPr>
          <w:rFonts w:ascii="华文中宋" w:hAnsi="华文中宋" w:eastAsia="华文中宋" w:cs="黑体"/>
          <w:b/>
          <w:sz w:val="72"/>
          <w:szCs w:val="72"/>
        </w:rPr>
      </w:pPr>
      <w:r>
        <w:rPr>
          <w:rFonts w:hint="eastAsia" w:ascii="华文中宋" w:hAnsi="华文中宋" w:eastAsia="华文中宋" w:cs="黑体"/>
          <w:b/>
          <w:sz w:val="72"/>
          <w:szCs w:val="72"/>
        </w:rPr>
        <w:t>学习手册</w:t>
      </w:r>
    </w:p>
    <w:p>
      <w:pPr>
        <w:framePr w:w="8746" w:h="7475" w:hRule="exact" w:wrap="around" w:vAnchor="page" w:hAnchor="page" w:x="1664" w:y="6556"/>
        <w:autoSpaceDE w:val="0"/>
        <w:autoSpaceDN w:val="0"/>
        <w:adjustRightInd w:val="0"/>
        <w:spacing w:line="1520" w:lineRule="exact"/>
        <w:jc w:val="left"/>
        <w:rPr>
          <w:rFonts w:ascii="黑体" w:hAnsi="黑体" w:cs="黑体"/>
          <w:sz w:val="52"/>
        </w:rPr>
      </w:pPr>
    </w:p>
    <w:p>
      <w:pPr>
        <w:framePr w:w="8746" w:h="7475" w:hRule="exact" w:wrap="around" w:vAnchor="page" w:hAnchor="page" w:x="1664" w:y="6556"/>
        <w:autoSpaceDE w:val="0"/>
        <w:autoSpaceDN w:val="0"/>
        <w:adjustRightInd w:val="0"/>
        <w:spacing w:line="1520" w:lineRule="exact"/>
        <w:jc w:val="left"/>
        <w:rPr>
          <w:rFonts w:ascii="黑体" w:hAnsi="黑体" w:cs="黑体"/>
          <w:sz w:val="52"/>
        </w:rPr>
      </w:pPr>
    </w:p>
    <w:p>
      <w:pPr>
        <w:framePr w:w="8746" w:h="7475" w:hRule="exact" w:wrap="around" w:vAnchor="page" w:hAnchor="page" w:x="1664" w:y="6556"/>
        <w:autoSpaceDE w:val="0"/>
        <w:autoSpaceDN w:val="0"/>
        <w:adjustRightInd w:val="0"/>
        <w:spacing w:line="700" w:lineRule="exact"/>
        <w:jc w:val="center"/>
        <w:rPr>
          <w:rFonts w:ascii="华文中宋" w:hAnsi="华文中宋" w:eastAsia="华文中宋" w:cs="GJOORT+MicrosoftYaHeiLight"/>
          <w:sz w:val="32"/>
          <w:szCs w:val="32"/>
        </w:rPr>
      </w:pPr>
      <w:r>
        <w:rPr>
          <w:rFonts w:hint="eastAsia" w:ascii="华文中宋" w:hAnsi="华文中宋" w:eastAsia="华文中宋" w:cs="GJOORT+MicrosoftYaHeiLight"/>
          <w:sz w:val="32"/>
          <w:szCs w:val="32"/>
        </w:rPr>
        <w:t>机械</w:t>
      </w:r>
      <w:r>
        <w:rPr>
          <w:rFonts w:ascii="华文中宋" w:hAnsi="华文中宋" w:eastAsia="华文中宋" w:cs="GJOORT+MicrosoftYaHeiLight"/>
          <w:sz w:val="32"/>
          <w:szCs w:val="32"/>
        </w:rPr>
        <w:t>与能源工程学院</w:t>
      </w:r>
    </w:p>
    <w:p>
      <w:pPr>
        <w:framePr w:w="8746" w:h="7475" w:hRule="exact" w:wrap="around" w:vAnchor="page" w:hAnchor="page" w:x="1664" w:y="6556"/>
        <w:autoSpaceDE w:val="0"/>
        <w:autoSpaceDN w:val="0"/>
        <w:adjustRightInd w:val="0"/>
        <w:spacing w:line="700" w:lineRule="exact"/>
        <w:jc w:val="center"/>
        <w:rPr>
          <w:rFonts w:ascii="华文中宋" w:hAnsi="华文中宋" w:eastAsia="华文中宋" w:cs="GJOORT+MicrosoftYaHeiLight"/>
          <w:b/>
          <w:sz w:val="32"/>
          <w:szCs w:val="32"/>
        </w:rPr>
      </w:pPr>
      <w:r>
        <w:rPr>
          <w:rFonts w:hint="eastAsia" w:ascii="华文中宋" w:hAnsi="华文中宋" w:eastAsia="华文中宋" w:cs="GJOORT+MicrosoftYaHeiLight"/>
          <w:b/>
          <w:sz w:val="32"/>
          <w:szCs w:val="32"/>
        </w:rPr>
        <w:t>2018年5月</w:t>
      </w:r>
    </w:p>
    <w:p>
      <w:pPr>
        <w:framePr w:w="8746" w:h="7475" w:hRule="exact" w:wrap="around" w:vAnchor="page" w:hAnchor="page" w:x="1664" w:y="6556"/>
        <w:autoSpaceDE w:val="0"/>
        <w:autoSpaceDN w:val="0"/>
        <w:adjustRightInd w:val="0"/>
        <w:rPr>
          <w:sz w:val="36"/>
          <w:szCs w:val="36"/>
        </w:rPr>
      </w:pPr>
    </w:p>
    <w:p>
      <w:pPr>
        <w:widowControl/>
        <w:ind w:firstLine="3600" w:firstLineChars="1000"/>
        <w:jc w:val="left"/>
        <w:rPr>
          <w:sz w:val="36"/>
          <w:szCs w:val="36"/>
        </w:rPr>
      </w:pPr>
    </w:p>
    <w:p>
      <w:pPr>
        <w:widowControl/>
        <w:jc w:val="center"/>
        <w:rPr>
          <w:rFonts w:ascii="黑体" w:hAnsi="黑体" w:eastAsia="黑体"/>
          <w:b/>
          <w:bCs/>
          <w:sz w:val="32"/>
          <w:szCs w:val="32"/>
        </w:rPr>
      </w:pPr>
      <w:r>
        <w:rPr>
          <w:rFonts w:hint="eastAsia"/>
          <w:b/>
          <w:sz w:val="44"/>
          <w:szCs w:val="36"/>
        </w:rPr>
        <w:t>机械</w:t>
      </w:r>
      <w:r>
        <w:rPr>
          <w:b/>
          <w:sz w:val="44"/>
          <w:szCs w:val="36"/>
        </w:rPr>
        <w:t>与能源工程学院</w:t>
      </w:r>
    </w:p>
    <w:p>
      <w:pPr>
        <w:widowControl/>
        <w:jc w:val="center"/>
        <w:rPr>
          <w:rFonts w:hint="eastAsia"/>
          <w:b/>
          <w:sz w:val="36"/>
          <w:szCs w:val="36"/>
        </w:rPr>
      </w:pPr>
    </w:p>
    <w:p>
      <w:pPr>
        <w:widowControl/>
        <w:jc w:val="center"/>
        <w:rPr>
          <w:b/>
          <w:sz w:val="36"/>
          <w:szCs w:val="36"/>
        </w:rPr>
      </w:pPr>
      <w:r>
        <w:rPr>
          <w:b/>
          <w:sz w:val="36"/>
          <w:szCs w:val="36"/>
        </w:rPr>
        <w:br w:type="page"/>
      </w:r>
    </w:p>
    <w:p>
      <w:pPr>
        <w:spacing w:before="163" w:beforeLines="50" w:after="163" w:afterLines="50" w:line="400" w:lineRule="exact"/>
        <w:ind w:firstLine="643" w:firstLineChars="200"/>
        <w:jc w:val="center"/>
        <w:rPr>
          <w:b/>
          <w:sz w:val="32"/>
          <w:szCs w:val="32"/>
        </w:rPr>
      </w:pPr>
      <w:r>
        <w:rPr>
          <w:rFonts w:hint="eastAsia"/>
          <w:b/>
          <w:sz w:val="32"/>
          <w:szCs w:val="32"/>
        </w:rPr>
        <w:t>第一部分  本科教学工作审核评估基本知识</w:t>
      </w:r>
    </w:p>
    <w:p>
      <w:pPr>
        <w:spacing w:before="163" w:beforeLines="50" w:after="163" w:afterLines="50" w:line="400" w:lineRule="exact"/>
        <w:ind w:firstLine="562" w:firstLineChars="200"/>
        <w:rPr>
          <w:b/>
          <w:sz w:val="28"/>
          <w:szCs w:val="28"/>
        </w:rPr>
      </w:pPr>
      <w:r>
        <w:rPr>
          <w:rFonts w:hint="eastAsia"/>
          <w:b/>
          <w:sz w:val="28"/>
          <w:szCs w:val="28"/>
        </w:rPr>
        <w:t>1.什么是审核评估？</w:t>
      </w:r>
    </w:p>
    <w:p>
      <w:pPr>
        <w:spacing w:before="163" w:beforeLines="50" w:after="163" w:afterLines="50" w:line="400" w:lineRule="exact"/>
        <w:ind w:firstLine="480" w:firstLineChars="200"/>
      </w:pPr>
      <w:r>
        <w:rPr>
          <w:rFonts w:hint="eastAsia" w:ascii="宋体" w:hAnsi="宋体" w:eastAsia="宋体" w:cs="宋体"/>
          <w:kern w:val="0"/>
          <w:szCs w:val="21"/>
        </w:rPr>
        <w:t>审核评估是依据被评估对象自身设定的人才培养目标来评价被评估对象人才培养目标与效果的实现情况。审核评估主要看评估对象是否达到了自身设定的目标，国家不设统一评估标准，是用自己的尺子量自己，审核结论不分等级，形成写实性审核报告。审核评估的目的是引导学校建立自律机制，强化自我改进，不断提升办学水平和教育质量。</w:t>
      </w:r>
    </w:p>
    <w:p>
      <w:pPr>
        <w:spacing w:before="163" w:beforeLines="50" w:after="163" w:afterLines="50" w:line="400" w:lineRule="exact"/>
        <w:ind w:firstLine="562" w:firstLineChars="200"/>
        <w:rPr>
          <w:b/>
          <w:bCs/>
          <w:sz w:val="28"/>
          <w:szCs w:val="28"/>
        </w:rPr>
      </w:pPr>
      <w:r>
        <w:rPr>
          <w:rFonts w:hint="eastAsia"/>
          <w:b/>
          <w:bCs/>
          <w:sz w:val="28"/>
          <w:szCs w:val="28"/>
        </w:rPr>
        <w:t>2.审核评估的指导方针是什么？</w:t>
      </w:r>
    </w:p>
    <w:p>
      <w:pPr>
        <w:spacing w:before="163" w:beforeLines="50" w:after="163" w:afterLines="50" w:line="400" w:lineRule="exact"/>
        <w:ind w:firstLine="480" w:firstLineChars="200"/>
      </w:pPr>
      <w:r>
        <w:rPr>
          <w:rFonts w:hint="eastAsia"/>
        </w:rPr>
        <w:t>审核评估的指导方针是“以评促建，以评促改，以评促管，评建结合，重在建设” (二十字方针) 。“以评促建”就是以评估工作带动学校各项建设和发展；“以评促改”就是通过评估工作推动学校的改革与创新；“以评促管”就是要通过评估更新学校的管理观念，促进管理规范；“评建结合”就是将评估工作与学校的教学改革及长远的建设目标一并考虑，统筹兼顾，以评估促进建设，以建设提升评估，评建共进；“重在建设”指评估只是一个手段，而建设是关键，提高教学质量才是最终的目的。</w:t>
      </w:r>
    </w:p>
    <w:p>
      <w:pPr>
        <w:spacing w:before="163" w:beforeLines="50" w:after="163" w:afterLines="50" w:line="400" w:lineRule="exact"/>
        <w:ind w:firstLine="562" w:firstLineChars="200"/>
        <w:rPr>
          <w:b/>
          <w:bCs/>
          <w:sz w:val="28"/>
          <w:szCs w:val="28"/>
        </w:rPr>
      </w:pPr>
      <w:r>
        <w:rPr>
          <w:rFonts w:hint="eastAsia"/>
          <w:b/>
          <w:bCs/>
          <w:sz w:val="28"/>
          <w:szCs w:val="28"/>
        </w:rPr>
        <w:t>3.审核评估的指导思想是什么？</w:t>
      </w:r>
    </w:p>
    <w:p>
      <w:pPr>
        <w:spacing w:before="163" w:beforeLines="50" w:after="163" w:afterLines="50" w:line="400" w:lineRule="exact"/>
        <w:ind w:firstLine="480" w:firstLineChars="200"/>
      </w:pPr>
      <w:r>
        <w:rPr>
          <w:rFonts w:hint="eastAsia"/>
        </w:rPr>
        <w:t>审核评估的指导思想可以概括为“一坚持、两突出、三强化”。这就是要在坚持“以评促建，以评促改，以评促管，评建结合，重在建设”这二十字方针的基础上，突出内涵建设，突出特色发展，强化办学合理定位，强化人才培养管理中心地位，强化内部质量保障体系建设，不断提高人才培养质量。</w:t>
      </w:r>
    </w:p>
    <w:p>
      <w:pPr>
        <w:spacing w:before="163" w:beforeLines="50" w:after="163" w:afterLines="50" w:line="400" w:lineRule="exact"/>
        <w:ind w:firstLine="562" w:firstLineChars="200"/>
        <w:rPr>
          <w:b/>
          <w:sz w:val="28"/>
          <w:szCs w:val="28"/>
        </w:rPr>
      </w:pPr>
      <w:r>
        <w:rPr>
          <w:rFonts w:hint="eastAsia"/>
          <w:b/>
          <w:sz w:val="28"/>
          <w:szCs w:val="28"/>
        </w:rPr>
        <w:t>4.审核评估的基本原则是什么？</w:t>
      </w:r>
    </w:p>
    <w:p>
      <w:pPr>
        <w:spacing w:before="163" w:beforeLines="50" w:after="163" w:afterLines="50" w:line="400" w:lineRule="exact"/>
        <w:ind w:firstLine="480" w:firstLineChars="200"/>
      </w:pPr>
      <w:r>
        <w:rPr>
          <w:rFonts w:hint="eastAsia"/>
        </w:rPr>
        <w:t>为适应我国高等教育发展的现状与分类评估、分类指导的要求，审核评估方案在设计上要体现主体性、目标性、多样性、发展性与实证性五个原则。</w:t>
      </w:r>
    </w:p>
    <w:p>
      <w:pPr>
        <w:spacing w:before="163" w:beforeLines="50" w:after="163" w:afterLines="50" w:line="400" w:lineRule="exact"/>
        <w:ind w:firstLine="480" w:firstLineChars="200"/>
      </w:pPr>
      <w:r>
        <w:rPr>
          <w:rFonts w:hint="eastAsia"/>
        </w:rPr>
        <w:t>（1）主体性原则</w:t>
      </w:r>
    </w:p>
    <w:p>
      <w:pPr>
        <w:spacing w:before="163" w:beforeLines="50" w:after="163" w:afterLines="50" w:line="400" w:lineRule="exact"/>
        <w:ind w:firstLine="480" w:firstLineChars="200"/>
      </w:pPr>
      <w:r>
        <w:rPr>
          <w:rFonts w:hint="eastAsia"/>
        </w:rPr>
        <w:t>审核评估强调学校是人才培养质量的责任主体，旨在促进学校增强质量主体意识、建立健全质量保障体系、提升质量保障能力。学校质量保障体系的完善程度与运行状况，反映了学校对教学质量的保障。高校要发挥主体作用，持续推进质量保障体系建设。</w:t>
      </w:r>
    </w:p>
    <w:p>
      <w:pPr>
        <w:spacing w:before="163" w:beforeLines="50" w:after="163" w:afterLines="50" w:line="400" w:lineRule="exact"/>
        <w:ind w:firstLine="480" w:firstLineChars="200"/>
      </w:pPr>
      <w:r>
        <w:rPr>
          <w:rFonts w:hint="eastAsia"/>
        </w:rPr>
        <w:t>（2）目标性原则</w:t>
      </w:r>
    </w:p>
    <w:p>
      <w:pPr>
        <w:spacing w:before="163" w:beforeLines="50" w:after="163" w:afterLines="50" w:line="400" w:lineRule="exact"/>
        <w:ind w:firstLine="480" w:firstLineChars="200"/>
      </w:pPr>
      <w:r>
        <w:rPr>
          <w:rFonts w:hint="eastAsia"/>
        </w:rPr>
        <w:t>审核评估强调目标导向性，主要考察学校人才培养目标的达成情况以及培养过程中各个环节如何改进、实施，以支持人才培养目标的实现。目标性原则要求审核评估关注学校自身目标的确立、保障、达成与改进情况。</w:t>
      </w:r>
    </w:p>
    <w:p>
      <w:pPr>
        <w:spacing w:before="163" w:beforeLines="50" w:after="163" w:afterLines="50" w:line="400" w:lineRule="exact"/>
        <w:ind w:firstLine="480" w:firstLineChars="200"/>
      </w:pPr>
      <w:r>
        <w:rPr>
          <w:rFonts w:hint="eastAsia"/>
        </w:rPr>
        <w:t>（3）多样性原则</w:t>
      </w:r>
    </w:p>
    <w:p>
      <w:pPr>
        <w:spacing w:before="163" w:beforeLines="50" w:after="163" w:afterLines="50" w:line="400" w:lineRule="exact"/>
        <w:ind w:firstLine="480" w:firstLineChars="200"/>
      </w:pPr>
      <w:r>
        <w:rPr>
          <w:rFonts w:hint="eastAsia"/>
        </w:rPr>
        <w:t>审核评估强调尊重学校办学自主权，充分考虑学校办学定位及人才培养的多样性，促进学校根据国家、社会需要，结合自身条件，合理确定培养目标，制定质量标准，形成办学特色。高校人才培养要充分体现多样性原则，克服同质化。多样性评估原则体现了国家对高等教育分类指导、鼓励高校办出特色这一理念。</w:t>
      </w:r>
    </w:p>
    <w:p>
      <w:pPr>
        <w:spacing w:before="163" w:beforeLines="50" w:after="163" w:afterLines="50" w:line="400" w:lineRule="exact"/>
        <w:ind w:firstLine="480" w:firstLineChars="200"/>
      </w:pPr>
      <w:r>
        <w:rPr>
          <w:rFonts w:hint="eastAsia"/>
        </w:rPr>
        <w:t>（4）发展性原则</w:t>
      </w:r>
    </w:p>
    <w:p>
      <w:pPr>
        <w:spacing w:before="163" w:beforeLines="50" w:after="163" w:afterLines="50" w:line="400" w:lineRule="exact"/>
        <w:ind w:firstLine="480" w:firstLineChars="200"/>
      </w:pPr>
      <w:r>
        <w:rPr>
          <w:rFonts w:hint="eastAsia"/>
        </w:rPr>
        <w:t>审核评估强调过程的改进和内涵的提升，注重资源的有效利用，注重建立质量保障的长效机制，促进质量的持续提高。</w:t>
      </w:r>
    </w:p>
    <w:p>
      <w:pPr>
        <w:spacing w:before="163" w:beforeLines="50" w:after="163" w:afterLines="50" w:line="400" w:lineRule="exact"/>
        <w:ind w:firstLine="480" w:firstLineChars="200"/>
      </w:pPr>
      <w:r>
        <w:rPr>
          <w:rFonts w:hint="eastAsia"/>
        </w:rPr>
        <w:t>（5）实证性原则</w:t>
      </w:r>
    </w:p>
    <w:p>
      <w:pPr>
        <w:spacing w:before="163" w:beforeLines="50" w:after="163" w:afterLines="50" w:line="400" w:lineRule="exact"/>
        <w:ind w:firstLine="480" w:firstLineChars="200"/>
      </w:pPr>
      <w:r>
        <w:rPr>
          <w:rFonts w:hint="eastAsia"/>
        </w:rPr>
        <w:t>审核评估强调依据事实做出审核判断，以目标为导向、以问题做引导、以数据为依据、以事实来证明，实证性原则不仅贯穿于审核评估专家组的进校考察过程，而且贯穿于学校的自评过程。审核评估以学校自评为基础，要求学校的自评和自我判断要以事实为依据，实事求是。专家组对学校做出判断时，也要以事实和数据为支撑，增强说服力。</w:t>
      </w:r>
    </w:p>
    <w:p>
      <w:pPr>
        <w:spacing w:before="163" w:beforeLines="50" w:after="163" w:afterLines="50" w:line="400" w:lineRule="exact"/>
        <w:ind w:firstLine="562" w:firstLineChars="200"/>
        <w:rPr>
          <w:b/>
          <w:sz w:val="28"/>
          <w:szCs w:val="28"/>
        </w:rPr>
      </w:pPr>
      <w:r>
        <w:rPr>
          <w:rFonts w:hint="eastAsia"/>
          <w:b/>
          <w:sz w:val="28"/>
          <w:szCs w:val="28"/>
        </w:rPr>
        <w:t>5.审核评估的对象</w:t>
      </w:r>
    </w:p>
    <w:p>
      <w:pPr>
        <w:spacing w:before="163" w:beforeLines="50" w:after="163" w:afterLines="50" w:line="400" w:lineRule="exact"/>
        <w:ind w:firstLine="480" w:firstLineChars="200"/>
      </w:pPr>
      <w:r>
        <w:rPr>
          <w:rFonts w:hint="eastAsia"/>
        </w:rPr>
        <w:t>审核评估是针对 2000年以来参加过院校评估，并获得通过的普通本科学校，包括两类院校。一类是参加了普通高等学校本科教学工作水平评估，并获得“合格”及以上结论的高校需参加审核评估；一类是参加了普通高等学校本科教学工作合格评估（含合格评估调研评估），获得“通过”结论的新建本科院校，在五年后必须参加审核评估。</w:t>
      </w:r>
    </w:p>
    <w:p>
      <w:pPr>
        <w:spacing w:before="163" w:beforeLines="50" w:after="163" w:afterLines="50" w:line="400" w:lineRule="exact"/>
        <w:ind w:firstLine="562" w:firstLineChars="200"/>
        <w:rPr>
          <w:b/>
          <w:sz w:val="28"/>
          <w:szCs w:val="28"/>
        </w:rPr>
      </w:pPr>
      <w:r>
        <w:rPr>
          <w:rFonts w:hint="eastAsia"/>
          <w:b/>
          <w:sz w:val="28"/>
          <w:szCs w:val="28"/>
        </w:rPr>
        <w:t>6.审核评估的条件</w:t>
      </w:r>
    </w:p>
    <w:p>
      <w:pPr>
        <w:spacing w:before="163" w:beforeLines="50" w:after="163" w:afterLines="50" w:line="400" w:lineRule="exact"/>
        <w:ind w:firstLine="480" w:firstLineChars="200"/>
      </w:pPr>
      <w:r>
        <w:rPr>
          <w:rFonts w:hint="eastAsia"/>
        </w:rPr>
        <w:t>参加审核评估学校办学条件指标应达到教育部《普通高等学校基本办学条件指标（试行）》（教发〔2004〕2号）规定的合格标准；公办普通本科高校生均拨款须达到《财政部关于进一步提高地方普通本科高校生均拨款水平的意见》（财教〔2010〕567号）规定的相应标准。</w:t>
      </w:r>
    </w:p>
    <w:p>
      <w:pPr>
        <w:spacing w:before="163" w:beforeLines="50" w:after="163" w:afterLines="50" w:line="400" w:lineRule="exact"/>
        <w:ind w:firstLine="562" w:firstLineChars="200"/>
        <w:rPr>
          <w:b/>
          <w:sz w:val="28"/>
          <w:szCs w:val="28"/>
        </w:rPr>
      </w:pPr>
      <w:r>
        <w:rPr>
          <w:rFonts w:hint="eastAsia"/>
          <w:b/>
          <w:sz w:val="28"/>
          <w:szCs w:val="28"/>
        </w:rPr>
        <w:t>7.审核评估的时间</w:t>
      </w:r>
    </w:p>
    <w:p>
      <w:pPr>
        <w:spacing w:before="163" w:beforeLines="50" w:after="163" w:afterLines="50" w:line="400" w:lineRule="exact"/>
        <w:ind w:firstLine="480" w:firstLineChars="200"/>
      </w:pPr>
      <w:r>
        <w:rPr>
          <w:rFonts w:hint="eastAsia"/>
        </w:rPr>
        <w:t>本次普通高等学校本科教学工作审核评估时间为 2014年至 2018年。浙江</w:t>
      </w:r>
      <w:r>
        <w:t>科技学院评估时间为：</w:t>
      </w:r>
      <w:r>
        <w:rPr>
          <w:rFonts w:hint="eastAsia"/>
        </w:rPr>
        <w:t>2018年5月27日-5月31日</w:t>
      </w:r>
      <w:r>
        <w:t>。</w:t>
      </w:r>
    </w:p>
    <w:p>
      <w:pPr>
        <w:spacing w:before="163" w:beforeLines="50" w:after="163" w:afterLines="50" w:line="400" w:lineRule="exact"/>
        <w:ind w:firstLine="562" w:firstLineChars="200"/>
        <w:rPr>
          <w:b/>
          <w:sz w:val="28"/>
          <w:szCs w:val="28"/>
        </w:rPr>
      </w:pPr>
      <w:r>
        <w:rPr>
          <w:rFonts w:hint="eastAsia"/>
          <w:b/>
          <w:sz w:val="28"/>
          <w:szCs w:val="28"/>
        </w:rPr>
        <w:t>8.审核评估的考察重点</w:t>
      </w:r>
    </w:p>
    <w:p>
      <w:pPr>
        <w:spacing w:before="163" w:beforeLines="50" w:after="163" w:afterLines="50" w:line="400" w:lineRule="exact"/>
        <w:ind w:firstLine="480" w:firstLineChars="200"/>
      </w:pPr>
      <w:r>
        <w:rPr>
          <w:rFonts w:hint="eastAsia"/>
        </w:rPr>
        <w:t>审核评估涵盖了高校人才培养过程的各个环节，其核心是对学校人才培养目标与培养效果的实现状况进行评价。评价并非是优、良、中、差的评价，而是要进行达成度的说明性评价。重点考察“四个度”。一是学校办学定位、人才培养目标与国家和区域经济社会发展需求的适应度；二是教师和教学资源条件的保障度；三是教学和质量保障体系运行的有效度；四是学生和社会用人单位的满意度。</w:t>
      </w:r>
    </w:p>
    <w:p>
      <w:pPr>
        <w:spacing w:before="163" w:beforeLines="50" w:after="163" w:afterLines="50" w:line="400" w:lineRule="exact"/>
        <w:ind w:firstLine="480" w:firstLineChars="200"/>
      </w:pPr>
      <w:r>
        <w:rPr>
          <w:rFonts w:hint="eastAsia"/>
        </w:rPr>
        <w:t>“四个度”构成了以学生为主线、以学生发展为中心的评估思路，涵盖了学生从入学开始到毕业的整个输入输出过程。通过考察学校教学设计、资源配置和师资保障在培养过程中是否能满足学生学习和成长的需要，培养输出的学生能否满足经济社会发展的需要，来对学校人才培养质量做出评价。</w:t>
      </w:r>
    </w:p>
    <w:p>
      <w:pPr>
        <w:spacing w:before="163" w:beforeLines="50" w:after="163" w:afterLines="50" w:line="400" w:lineRule="exact"/>
        <w:ind w:firstLine="562" w:firstLineChars="200"/>
      </w:pPr>
      <w:r>
        <w:rPr>
          <w:rFonts w:hint="eastAsia"/>
          <w:b/>
          <w:sz w:val="28"/>
          <w:szCs w:val="28"/>
        </w:rPr>
        <w:t>9.审核评估的特征是什么</w:t>
      </w:r>
      <w:r>
        <w:rPr>
          <w:rFonts w:hint="eastAsia"/>
        </w:rPr>
        <w:t>？</w:t>
      </w:r>
    </w:p>
    <w:p>
      <w:pPr>
        <w:spacing w:before="163" w:beforeLines="50" w:after="163" w:afterLines="50" w:line="400" w:lineRule="exact"/>
        <w:ind w:firstLine="480" w:firstLineChars="200"/>
      </w:pPr>
      <w:r>
        <w:rPr>
          <w:rFonts w:hint="eastAsia"/>
        </w:rPr>
        <w:t>不设统一的评估标准，强调“一校一标准，一校一类别”，“用自己的尺子量自己”。</w:t>
      </w:r>
    </w:p>
    <w:p>
      <w:pPr>
        <w:spacing w:before="163" w:beforeLines="50" w:after="163" w:afterLines="50" w:line="400" w:lineRule="exact"/>
        <w:ind w:firstLine="562" w:firstLineChars="200"/>
        <w:rPr>
          <w:b/>
          <w:sz w:val="28"/>
          <w:szCs w:val="28"/>
        </w:rPr>
      </w:pPr>
      <w:r>
        <w:rPr>
          <w:rFonts w:hint="eastAsia"/>
          <w:b/>
          <w:sz w:val="28"/>
          <w:szCs w:val="28"/>
        </w:rPr>
        <w:t>10.审核评估的有效期？</w:t>
      </w:r>
    </w:p>
    <w:p>
      <w:pPr>
        <w:spacing w:before="163" w:beforeLines="50" w:after="163" w:afterLines="50" w:line="400" w:lineRule="exact"/>
        <w:ind w:firstLine="480" w:firstLineChars="200"/>
      </w:pPr>
      <w:r>
        <w:rPr>
          <w:rFonts w:hint="eastAsia"/>
        </w:rPr>
        <w:t>审核评估是一种制度性评估，有效期为5年。</w:t>
      </w:r>
    </w:p>
    <w:p>
      <w:pPr>
        <w:spacing w:before="163" w:beforeLines="50" w:after="163" w:afterLines="50" w:line="400" w:lineRule="exact"/>
        <w:ind w:firstLine="562" w:firstLineChars="200"/>
        <w:rPr>
          <w:b/>
          <w:sz w:val="28"/>
          <w:szCs w:val="28"/>
        </w:rPr>
      </w:pPr>
      <w:r>
        <w:rPr>
          <w:rFonts w:hint="eastAsia"/>
          <w:b/>
          <w:sz w:val="28"/>
          <w:szCs w:val="28"/>
        </w:rPr>
        <w:t>11.审核评估的理念</w:t>
      </w:r>
    </w:p>
    <w:p>
      <w:pPr>
        <w:spacing w:before="163" w:beforeLines="50" w:after="163" w:afterLines="50" w:line="400" w:lineRule="exact"/>
        <w:ind w:firstLine="480" w:firstLineChars="200"/>
      </w:pPr>
      <w:r>
        <w:rPr>
          <w:rFonts w:hint="eastAsia"/>
        </w:rPr>
        <w:t>（1）工作理念：对国家负责，为学校服务</w:t>
      </w:r>
    </w:p>
    <w:p>
      <w:pPr>
        <w:spacing w:before="163" w:beforeLines="50" w:after="163" w:afterLines="50" w:line="400" w:lineRule="exact"/>
        <w:ind w:firstLine="480" w:firstLineChars="200"/>
      </w:pPr>
      <w:r>
        <w:rPr>
          <w:rFonts w:hint="eastAsia"/>
        </w:rPr>
        <w:t>（2）评估理论：以学校为主体，以学生发展为本位</w:t>
      </w:r>
    </w:p>
    <w:p>
      <w:pPr>
        <w:widowControl/>
        <w:spacing w:before="163" w:beforeLines="50" w:after="163" w:afterLines="50" w:line="360" w:lineRule="auto"/>
        <w:ind w:firstLine="562" w:firstLineChars="200"/>
        <w:jc w:val="left"/>
        <w:rPr>
          <w:rFonts w:ascii="宋体" w:hAnsi="宋体" w:eastAsia="宋体" w:cs="宋体"/>
          <w:b/>
          <w:bCs/>
          <w:kern w:val="0"/>
          <w:sz w:val="28"/>
          <w:szCs w:val="28"/>
        </w:rPr>
      </w:pPr>
      <w:r>
        <w:rPr>
          <w:rFonts w:hint="eastAsia"/>
          <w:b/>
          <w:sz w:val="28"/>
          <w:szCs w:val="28"/>
        </w:rPr>
        <w:t>12.</w:t>
      </w:r>
      <w:r>
        <w:rPr>
          <w:rFonts w:hint="eastAsia" w:ascii="宋体" w:hAnsi="宋体" w:eastAsia="宋体" w:cs="宋体"/>
          <w:b/>
          <w:bCs/>
          <w:kern w:val="0"/>
          <w:sz w:val="28"/>
          <w:szCs w:val="28"/>
        </w:rPr>
        <w:t>审核评估的内容？</w:t>
      </w:r>
    </w:p>
    <w:p>
      <w:pPr>
        <w:widowControl/>
        <w:spacing w:before="163" w:beforeLines="50" w:after="163" w:afterLines="50" w:line="360" w:lineRule="auto"/>
        <w:ind w:firstLine="480" w:firstLineChars="200"/>
        <w:jc w:val="left"/>
        <w:rPr>
          <w:rFonts w:ascii="宋体" w:hAnsi="宋体" w:eastAsia="宋体" w:cs="宋体"/>
          <w:kern w:val="0"/>
          <w:szCs w:val="21"/>
        </w:rPr>
      </w:pPr>
      <w:r>
        <w:rPr>
          <w:rFonts w:hint="eastAsia" w:ascii="宋体" w:hAnsi="宋体" w:eastAsia="宋体" w:cs="宋体"/>
          <w:kern w:val="0"/>
          <w:szCs w:val="21"/>
        </w:rPr>
        <w:t xml:space="preserve">审核评估主要考察学校的定位与目标、师资队伍、教学资源、培养过程、学生发展、质量保障6个项目及1个学校自选特色项目，包括24个要素、64个要点，涵盖学校办学定位和人才培养目标、教师教学水平和教学投入、教学经费和教学设施、专业及课程建设、教学管理与改革、招生与就业、学生学习效果及学风建设、质量保障体系的建设及运行等各个方面。 </w:t>
      </w:r>
    </w:p>
    <w:p>
      <w:pPr>
        <w:spacing w:before="163" w:beforeLines="50" w:after="163" w:afterLines="50" w:line="400" w:lineRule="exact"/>
        <w:ind w:firstLine="562" w:firstLineChars="200"/>
        <w:rPr>
          <w:b/>
          <w:sz w:val="28"/>
          <w:szCs w:val="28"/>
        </w:rPr>
      </w:pPr>
      <w:r>
        <w:rPr>
          <w:rFonts w:hint="eastAsia"/>
          <w:b/>
          <w:sz w:val="28"/>
          <w:szCs w:val="28"/>
        </w:rPr>
        <w:t>13.审核评估的工作方法？</w:t>
      </w:r>
    </w:p>
    <w:p>
      <w:pPr>
        <w:spacing w:before="163" w:beforeLines="50" w:after="163" w:afterLines="50" w:line="400" w:lineRule="exact"/>
        <w:ind w:firstLine="480" w:firstLineChars="200"/>
      </w:pPr>
      <w:r>
        <w:rPr>
          <w:rFonts w:hint="eastAsia"/>
        </w:rPr>
        <w:t>实行目标导向、问题引导、事实判断的评估方法。实现了信息化，即所谓的“数据先行”，专家组进校前已经通过数据系统和质量年报全面了解了评估学校的基本情况，确定了考察重点“有备而来”。考察方式也更加多样化。</w:t>
      </w:r>
    </w:p>
    <w:p>
      <w:pPr>
        <w:spacing w:before="163" w:beforeLines="50" w:after="163" w:afterLines="50" w:line="400" w:lineRule="exact"/>
        <w:ind w:firstLine="562" w:firstLineChars="200"/>
        <w:rPr>
          <w:b/>
          <w:sz w:val="28"/>
          <w:szCs w:val="28"/>
        </w:rPr>
      </w:pPr>
      <w:r>
        <w:rPr>
          <w:rFonts w:hint="eastAsia"/>
          <w:b/>
          <w:sz w:val="28"/>
          <w:szCs w:val="28"/>
        </w:rPr>
        <w:t>14.审核评估的工作程序</w:t>
      </w:r>
    </w:p>
    <w:p>
      <w:pPr>
        <w:spacing w:before="163" w:beforeLines="50" w:after="163" w:afterLines="50" w:line="400" w:lineRule="exact"/>
        <w:ind w:firstLine="480" w:firstLineChars="200"/>
      </w:pPr>
      <w:r>
        <w:rPr>
          <w:rFonts w:hint="eastAsia"/>
        </w:rPr>
        <w:t>审核评估的程序包括学校自评、专家进校考察、评估结论审议与发布和持续改进等。</w:t>
      </w:r>
    </w:p>
    <w:p>
      <w:pPr>
        <w:spacing w:before="163" w:beforeLines="50" w:after="163" w:afterLines="50" w:line="400" w:lineRule="exact"/>
        <w:ind w:firstLine="480" w:firstLineChars="200"/>
      </w:pPr>
      <w:r>
        <w:rPr>
          <w:rFonts w:hint="eastAsia"/>
        </w:rPr>
        <w:t>（1）学校自评：参评学校根据《普通高等学校本科教学工作审核评估方案》及上一次本科教学工作评估存在的问题的整改情况，结合自身实际，认真开展自我评估，填报本科教学基本状态数据，在此基础上形成《自评报告》，同时提交各年度《本科教学质量报告》；</w:t>
      </w:r>
    </w:p>
    <w:p>
      <w:pPr>
        <w:spacing w:before="163" w:beforeLines="50" w:after="163" w:afterLines="50" w:line="400" w:lineRule="exact"/>
        <w:ind w:firstLine="480" w:firstLineChars="200"/>
      </w:pPr>
      <w:r>
        <w:rPr>
          <w:rFonts w:hint="eastAsia"/>
        </w:rPr>
        <w:t>（2）专家进校考察：专家组审核学校《自评报告》《本科教学质量报告》及实施审核评估机构提供的《教学基本状态数据分析报告》——查阅材料、个别访谈、集体访谈、考察教学设施与公共服务设施、观摩课堂教学与实践教学——形成写实性《审核评估报告》——对各审核项目及其要素的审核情况进行逐一描述—指出值得肯定（具有明显优势和特色）、需要改进（存在明显不足）和必须整改（存在明显缺陷）的方面。</w:t>
      </w:r>
    </w:p>
    <w:p>
      <w:pPr>
        <w:spacing w:before="163" w:beforeLines="50" w:after="163" w:afterLines="50" w:line="400" w:lineRule="exact"/>
        <w:ind w:firstLine="480" w:firstLineChars="200"/>
      </w:pPr>
      <w:r>
        <w:rPr>
          <w:rFonts w:hint="eastAsia"/>
        </w:rPr>
        <w:t>（3）评估结论审议与发布：教育部评估专家委员会对《审核评估报告》进行审议后正式公布。</w:t>
      </w:r>
    </w:p>
    <w:p>
      <w:pPr>
        <w:spacing w:before="163" w:beforeLines="50" w:after="163" w:afterLines="50" w:line="400" w:lineRule="exact"/>
        <w:ind w:firstLine="480" w:firstLineChars="200"/>
      </w:pPr>
      <w:r>
        <w:rPr>
          <w:rFonts w:hint="eastAsia"/>
        </w:rPr>
        <w:t>（4）持续改进。参评学校要根据审核评估中提出的问题及建议进行整改。整改方案应在评估专家组离校后两个月内报上级教育主管部门和评估机构，并在一年后上报整改工作报告。</w:t>
      </w:r>
    </w:p>
    <w:p>
      <w:pPr>
        <w:spacing w:before="163" w:beforeLines="50" w:after="163" w:afterLines="50" w:line="400" w:lineRule="exact"/>
        <w:ind w:firstLine="562" w:firstLineChars="200"/>
        <w:rPr>
          <w:b/>
          <w:sz w:val="28"/>
          <w:szCs w:val="28"/>
        </w:rPr>
      </w:pPr>
      <w:r>
        <w:rPr>
          <w:rFonts w:hint="eastAsia"/>
          <w:b/>
          <w:sz w:val="28"/>
          <w:szCs w:val="28"/>
        </w:rPr>
        <w:t>15.什么是教学基本状态数据库？</w:t>
      </w:r>
    </w:p>
    <w:p>
      <w:pPr>
        <w:spacing w:before="163" w:beforeLines="50" w:after="163" w:afterLines="50" w:line="400" w:lineRule="exact"/>
        <w:ind w:firstLine="480" w:firstLineChars="200"/>
      </w:pPr>
      <w:r>
        <w:rPr>
          <w:rFonts w:hint="eastAsia"/>
        </w:rPr>
        <w:t>教学基本状态数据库就是利用信息和网络技术，按照教学工作的基本规律，把高等学校与本科教学工作密切相关的数据按照一定的逻辑关系组织起来，以数字化方式呈现出来，形成系统化的、反映高等学校教学运行状态的数据集。</w:t>
      </w:r>
    </w:p>
    <w:p>
      <w:pPr>
        <w:spacing w:before="163" w:beforeLines="50" w:after="163" w:afterLines="50" w:line="400" w:lineRule="exact"/>
        <w:ind w:firstLine="562" w:firstLineChars="200"/>
        <w:rPr>
          <w:b/>
          <w:sz w:val="28"/>
          <w:szCs w:val="28"/>
        </w:rPr>
      </w:pPr>
      <w:r>
        <w:rPr>
          <w:rFonts w:hint="eastAsia"/>
          <w:b/>
          <w:sz w:val="28"/>
          <w:szCs w:val="28"/>
        </w:rPr>
        <w:t>16.什么是“五位一体”的评估制度？</w:t>
      </w:r>
    </w:p>
    <w:p>
      <w:pPr>
        <w:spacing w:before="163" w:beforeLines="50" w:after="163" w:afterLines="50" w:line="400" w:lineRule="exact"/>
        <w:ind w:firstLine="480" w:firstLineChars="200"/>
      </w:pPr>
      <w:r>
        <w:rPr>
          <w:rFonts w:hint="eastAsia"/>
        </w:rPr>
        <w:t>包括学校自我评估、分类院校评估、专业认证及评估、教学基本状态数据常态监测和国际评估。</w:t>
      </w:r>
    </w:p>
    <w:p>
      <w:pPr>
        <w:spacing w:before="163" w:beforeLines="50" w:after="163" w:afterLines="50" w:line="400" w:lineRule="exact"/>
        <w:ind w:firstLine="562" w:firstLineChars="200"/>
        <w:rPr>
          <w:b/>
          <w:sz w:val="28"/>
          <w:szCs w:val="28"/>
        </w:rPr>
      </w:pPr>
      <w:r>
        <w:rPr>
          <w:rFonts w:hint="eastAsia"/>
          <w:b/>
          <w:sz w:val="28"/>
          <w:szCs w:val="28"/>
        </w:rPr>
        <w:t>17.本科教学主要环节的质量标准包括哪些？</w:t>
      </w:r>
    </w:p>
    <w:p>
      <w:pPr>
        <w:spacing w:before="163" w:beforeLines="50" w:after="163" w:afterLines="50" w:line="400" w:lineRule="exact"/>
        <w:ind w:firstLine="480" w:firstLineChars="200"/>
      </w:pPr>
      <w:r>
        <w:rPr>
          <w:rFonts w:hint="eastAsia"/>
        </w:rPr>
        <w:t>包括理论教学质量标准和实践教学质量标准，其中理论教学质量标准又包括：备课、课堂讲授、辅导答疑、作业和考试等；实践教学质量标准又包括：实验教学、实习和毕业论文等。</w:t>
      </w:r>
    </w:p>
    <w:p>
      <w:pPr>
        <w:spacing w:before="163" w:beforeLines="50" w:after="163" w:afterLines="50" w:line="400" w:lineRule="exact"/>
        <w:ind w:firstLine="562" w:firstLineChars="200"/>
        <w:rPr>
          <w:b/>
          <w:sz w:val="28"/>
          <w:szCs w:val="28"/>
        </w:rPr>
      </w:pPr>
      <w:r>
        <w:rPr>
          <w:rFonts w:hint="eastAsia"/>
          <w:b/>
          <w:sz w:val="28"/>
          <w:szCs w:val="28"/>
        </w:rPr>
        <w:t>18.专家组如何召开座谈会？</w:t>
      </w:r>
    </w:p>
    <w:p>
      <w:pPr>
        <w:spacing w:before="163" w:beforeLines="50" w:after="163" w:afterLines="50" w:line="400" w:lineRule="exact"/>
        <w:ind w:firstLine="480" w:firstLineChars="200"/>
      </w:pPr>
      <w:r>
        <w:rPr>
          <w:rFonts w:hint="eastAsia"/>
        </w:rPr>
        <w:t>（1）不同专题的座谈会：如专业建设、教学质量监控体系的运行、实践教学环节和实验室工作、教学经费及使用等，根据专题要求组织不同的人员参加；</w:t>
      </w:r>
    </w:p>
    <w:p>
      <w:pPr>
        <w:spacing w:before="163" w:beforeLines="50" w:after="163" w:afterLines="50" w:line="400" w:lineRule="exact"/>
        <w:ind w:firstLine="480" w:firstLineChars="200"/>
      </w:pPr>
      <w:r>
        <w:rPr>
          <w:rFonts w:hint="eastAsia"/>
        </w:rPr>
        <w:t>（2）不同类型人员的座谈会：如老年教师，中青年教师，实验室工作人员，教学管理干部，学校评建办，不同专业、不同年级的学生等；</w:t>
      </w:r>
    </w:p>
    <w:p>
      <w:pPr>
        <w:spacing w:before="163" w:beforeLines="50" w:after="163" w:afterLines="50" w:line="400" w:lineRule="exact"/>
        <w:ind w:firstLine="480" w:firstLineChars="200"/>
        <w:rPr>
          <w:sz w:val="28"/>
          <w:szCs w:val="28"/>
        </w:rPr>
      </w:pPr>
      <w:r>
        <w:rPr>
          <w:rFonts w:hint="eastAsia"/>
        </w:rPr>
        <w:t>（3）座谈会由专家组确定讨论提纲和与会人员名单，会议一般安排在2小时之内，人数控制在6—15人之间。</w:t>
      </w:r>
    </w:p>
    <w:p>
      <w:pPr>
        <w:spacing w:before="163" w:beforeLines="50" w:after="163" w:afterLines="50" w:line="400" w:lineRule="exact"/>
        <w:ind w:firstLine="562" w:firstLineChars="200"/>
        <w:rPr>
          <w:b/>
          <w:sz w:val="28"/>
          <w:szCs w:val="28"/>
        </w:rPr>
      </w:pPr>
      <w:r>
        <w:rPr>
          <w:rFonts w:hint="eastAsia"/>
          <w:b/>
          <w:sz w:val="28"/>
          <w:szCs w:val="28"/>
        </w:rPr>
        <w:t>19．学生座谈会一般有哪些内容？</w:t>
      </w:r>
    </w:p>
    <w:p>
      <w:pPr>
        <w:spacing w:before="163" w:beforeLines="50" w:after="163" w:afterLines="50" w:line="400" w:lineRule="exact"/>
        <w:ind w:firstLine="480" w:firstLineChars="200"/>
      </w:pPr>
      <w:r>
        <w:rPr>
          <w:rFonts w:hint="eastAsia"/>
        </w:rPr>
        <w:t>（1）在校学习期间最大的收获是什么。</w:t>
      </w:r>
    </w:p>
    <w:p>
      <w:pPr>
        <w:spacing w:before="163" w:beforeLines="50" w:after="163" w:afterLines="50" w:line="400" w:lineRule="exact"/>
        <w:ind w:firstLine="480" w:firstLineChars="200"/>
      </w:pPr>
      <w:r>
        <w:rPr>
          <w:rFonts w:hint="eastAsia"/>
        </w:rPr>
        <w:t>（2）哪一门课，哪一位教师印象最深。</w:t>
      </w:r>
    </w:p>
    <w:p>
      <w:pPr>
        <w:spacing w:before="163" w:beforeLines="50" w:after="163" w:afterLines="50" w:line="400" w:lineRule="exact"/>
        <w:ind w:firstLine="480" w:firstLineChars="200"/>
      </w:pPr>
      <w:r>
        <w:rPr>
          <w:rFonts w:hint="eastAsia"/>
        </w:rPr>
        <w:t>（3）与其他院校相比，我校在学风、教风及工作作风上有什么特点。</w:t>
      </w:r>
    </w:p>
    <w:p>
      <w:pPr>
        <w:spacing w:before="163" w:beforeLines="50" w:after="163" w:afterLines="50" w:line="400" w:lineRule="exact"/>
        <w:ind w:firstLine="480" w:firstLineChars="200"/>
      </w:pPr>
      <w:r>
        <w:rPr>
          <w:rFonts w:hint="eastAsia"/>
        </w:rPr>
        <w:t>（4）教室、实验室、图书馆、运动场及体育设施开放与使用情况。</w:t>
      </w:r>
    </w:p>
    <w:p>
      <w:pPr>
        <w:spacing w:before="163" w:beforeLines="50" w:after="163" w:afterLines="50" w:line="400" w:lineRule="exact"/>
        <w:ind w:firstLine="480" w:firstLineChars="200"/>
      </w:pPr>
      <w:r>
        <w:rPr>
          <w:rFonts w:hint="eastAsia"/>
        </w:rPr>
        <w:t>（5）学校课外科技、文化活动开展得如何。</w:t>
      </w:r>
    </w:p>
    <w:p>
      <w:pPr>
        <w:spacing w:before="163" w:beforeLines="50" w:after="163" w:afterLines="50" w:line="400" w:lineRule="exact"/>
        <w:ind w:firstLine="480" w:firstLineChars="200"/>
      </w:pPr>
      <w:r>
        <w:rPr>
          <w:rFonts w:hint="eastAsia"/>
        </w:rPr>
        <w:t>（6）学校伙食、生活条件如何。</w:t>
      </w:r>
    </w:p>
    <w:p>
      <w:pPr>
        <w:spacing w:before="163" w:beforeLines="50" w:after="163" w:afterLines="50" w:line="400" w:lineRule="exact"/>
        <w:ind w:firstLine="480" w:firstLineChars="200"/>
      </w:pPr>
      <w:r>
        <w:rPr>
          <w:rFonts w:hint="eastAsia"/>
        </w:rPr>
        <w:t>（7）对学校的教育教学工作有什么建议。</w:t>
      </w:r>
    </w:p>
    <w:p>
      <w:pPr>
        <w:spacing w:before="163" w:beforeLines="50" w:after="163" w:afterLines="50" w:line="400" w:lineRule="exact"/>
        <w:ind w:firstLine="562" w:firstLineChars="200"/>
        <w:rPr>
          <w:b/>
          <w:sz w:val="28"/>
          <w:szCs w:val="28"/>
        </w:rPr>
      </w:pPr>
      <w:r>
        <w:rPr>
          <w:rFonts w:hint="eastAsia"/>
          <w:b/>
          <w:sz w:val="28"/>
          <w:szCs w:val="28"/>
        </w:rPr>
        <w:t>20．教师座谈会一般有哪些内容？</w:t>
      </w:r>
    </w:p>
    <w:p>
      <w:pPr>
        <w:spacing w:before="163" w:beforeLines="50" w:after="163" w:afterLines="50" w:line="400" w:lineRule="exact"/>
        <w:ind w:firstLine="480" w:firstLineChars="200"/>
      </w:pPr>
      <w:r>
        <w:rPr>
          <w:rFonts w:hint="eastAsia"/>
        </w:rPr>
        <w:t>（1）教学、科研、社会服务三者的关系；本科教学工作的地位及其与学校其他工作的关系。</w:t>
      </w:r>
    </w:p>
    <w:p>
      <w:pPr>
        <w:spacing w:before="163" w:beforeLines="50" w:after="163" w:afterLines="50" w:line="400" w:lineRule="exact"/>
        <w:ind w:firstLine="480" w:firstLineChars="200"/>
      </w:pPr>
      <w:r>
        <w:rPr>
          <w:rFonts w:hint="eastAsia"/>
        </w:rPr>
        <w:t>（2）教学改革情况，措施及成效；教学有什么特点；培养的本科生有什么特色。</w:t>
      </w:r>
    </w:p>
    <w:p>
      <w:pPr>
        <w:spacing w:before="163" w:beforeLines="50" w:after="163" w:afterLines="50" w:line="400" w:lineRule="exact"/>
        <w:ind w:firstLine="480" w:firstLineChars="200"/>
      </w:pPr>
      <w:r>
        <w:rPr>
          <w:rFonts w:hint="eastAsia"/>
        </w:rPr>
        <w:t>（3）学风、教风、工作作风的情况。</w:t>
      </w:r>
    </w:p>
    <w:p>
      <w:pPr>
        <w:spacing w:before="163" w:beforeLines="50" w:after="163" w:afterLines="50" w:line="400" w:lineRule="exact"/>
        <w:ind w:firstLine="480" w:firstLineChars="200"/>
      </w:pPr>
      <w:r>
        <w:rPr>
          <w:rFonts w:hint="eastAsia"/>
        </w:rPr>
        <w:t>（4）本科生社会实践的开展情况。</w:t>
      </w:r>
    </w:p>
    <w:p>
      <w:pPr>
        <w:spacing w:before="163" w:beforeLines="50" w:after="163" w:afterLines="50" w:line="400" w:lineRule="exact"/>
        <w:ind w:firstLine="480" w:firstLineChars="200"/>
      </w:pPr>
      <w:r>
        <w:rPr>
          <w:rFonts w:hint="eastAsia"/>
        </w:rPr>
        <w:t>（5）多媒体教室、实验室情况。</w:t>
      </w:r>
    </w:p>
    <w:p>
      <w:pPr>
        <w:spacing w:before="163" w:beforeLines="50" w:after="163" w:afterLines="50" w:line="400" w:lineRule="exact"/>
        <w:ind w:firstLine="480" w:firstLineChars="200"/>
      </w:pPr>
      <w:r>
        <w:rPr>
          <w:rFonts w:hint="eastAsia"/>
        </w:rPr>
        <w:t>（6）校内外实验基地建设、管理和使用情况。</w:t>
      </w:r>
    </w:p>
    <w:p>
      <w:pPr>
        <w:spacing w:before="163" w:beforeLines="50" w:after="163" w:afterLines="50" w:line="400" w:lineRule="exact"/>
        <w:ind w:firstLine="480" w:firstLineChars="200"/>
      </w:pPr>
      <w:r>
        <w:rPr>
          <w:rFonts w:hint="eastAsia"/>
        </w:rPr>
        <w:t>（7）师资队伍情况，青年教师情况。</w:t>
      </w:r>
    </w:p>
    <w:p>
      <w:pPr>
        <w:spacing w:before="163" w:beforeLines="50" w:after="163" w:afterLines="50" w:line="400" w:lineRule="exact"/>
        <w:ind w:firstLine="480" w:firstLineChars="200"/>
      </w:pPr>
      <w:r>
        <w:rPr>
          <w:rFonts w:hint="eastAsia"/>
        </w:rPr>
        <w:t>（8）教学管理情况、专业建设、课程建设、教材建设情况。</w:t>
      </w:r>
    </w:p>
    <w:p>
      <w:pPr>
        <w:spacing w:before="163" w:beforeLines="50" w:after="163" w:afterLines="50" w:line="400" w:lineRule="exact"/>
        <w:ind w:firstLine="480" w:firstLineChars="200"/>
      </w:pPr>
      <w:r>
        <w:rPr>
          <w:rFonts w:hint="eastAsia"/>
        </w:rPr>
        <w:t>（9）与本科教学工作密切联系的其他问题。</w:t>
      </w:r>
    </w:p>
    <w:p>
      <w:pPr>
        <w:spacing w:before="163" w:beforeLines="50" w:after="163" w:afterLines="50" w:line="400" w:lineRule="exact"/>
        <w:ind w:firstLine="562" w:firstLineChars="200"/>
        <w:rPr>
          <w:b/>
          <w:sz w:val="28"/>
          <w:szCs w:val="28"/>
        </w:rPr>
      </w:pPr>
      <w:r>
        <w:rPr>
          <w:rFonts w:hint="eastAsia"/>
          <w:b/>
          <w:sz w:val="28"/>
          <w:szCs w:val="28"/>
        </w:rPr>
        <w:t>21．学术骨干、学科带头人座谈会一般有哪些内容？</w:t>
      </w:r>
    </w:p>
    <w:p>
      <w:pPr>
        <w:spacing w:before="163" w:beforeLines="50" w:after="163" w:afterLines="50" w:line="400" w:lineRule="exact"/>
        <w:ind w:firstLine="480" w:firstLineChars="200"/>
      </w:pPr>
      <w:r>
        <w:rPr>
          <w:rFonts w:hint="eastAsia"/>
        </w:rPr>
        <w:t>（1）学科的建设与发展情况。</w:t>
      </w:r>
    </w:p>
    <w:p>
      <w:pPr>
        <w:spacing w:before="163" w:beforeLines="50" w:after="163" w:afterLines="50" w:line="400" w:lineRule="exact"/>
        <w:ind w:firstLine="480" w:firstLineChars="200"/>
      </w:pPr>
      <w:r>
        <w:rPr>
          <w:rFonts w:hint="eastAsia"/>
        </w:rPr>
        <w:t>（2）学术队伍结构情况。</w:t>
      </w:r>
    </w:p>
    <w:p>
      <w:pPr>
        <w:spacing w:before="163" w:beforeLines="50" w:after="163" w:afterLines="50" w:line="400" w:lineRule="exact"/>
        <w:ind w:firstLine="480" w:firstLineChars="200"/>
      </w:pPr>
      <w:r>
        <w:rPr>
          <w:rFonts w:hint="eastAsia"/>
        </w:rPr>
        <w:t>（3）学校在学科人才培养方面的支持力度。</w:t>
      </w:r>
    </w:p>
    <w:p>
      <w:pPr>
        <w:spacing w:before="163" w:beforeLines="50" w:after="163" w:afterLines="50" w:line="400" w:lineRule="exact"/>
        <w:ind w:firstLine="480" w:firstLineChars="200"/>
        <w:rPr>
          <w:sz w:val="28"/>
          <w:szCs w:val="28"/>
        </w:rPr>
      </w:pPr>
      <w:r>
        <w:rPr>
          <w:rFonts w:hint="eastAsia"/>
        </w:rPr>
        <w:t>（4）青年教师培养方面采取的措施。</w:t>
      </w:r>
    </w:p>
    <w:p>
      <w:pPr>
        <w:spacing w:before="163" w:beforeLines="50" w:after="163" w:afterLines="50" w:line="400" w:lineRule="exact"/>
        <w:ind w:firstLine="562" w:firstLineChars="200"/>
        <w:rPr>
          <w:b/>
          <w:sz w:val="28"/>
          <w:szCs w:val="28"/>
        </w:rPr>
      </w:pPr>
      <w:r>
        <w:rPr>
          <w:rFonts w:hint="eastAsia"/>
          <w:b/>
          <w:sz w:val="28"/>
          <w:szCs w:val="28"/>
        </w:rPr>
        <w:t>22．管理人员座谈会一般有哪些内容？</w:t>
      </w:r>
    </w:p>
    <w:p>
      <w:pPr>
        <w:spacing w:before="163" w:beforeLines="50" w:after="163" w:afterLines="50" w:line="400" w:lineRule="exact"/>
        <w:ind w:firstLine="480" w:firstLineChars="200"/>
      </w:pPr>
      <w:r>
        <w:rPr>
          <w:rFonts w:hint="eastAsia"/>
        </w:rPr>
        <w:t>（1）教学工作的地位及其与学校其他工作的关系。</w:t>
      </w:r>
    </w:p>
    <w:p>
      <w:pPr>
        <w:spacing w:before="163" w:beforeLines="50" w:after="163" w:afterLines="50" w:line="400" w:lineRule="exact"/>
        <w:ind w:firstLine="480" w:firstLineChars="200"/>
      </w:pPr>
      <w:r>
        <w:rPr>
          <w:rFonts w:hint="eastAsia"/>
        </w:rPr>
        <w:t>（2）管理改革对促进本科教学工作的情况；各项管理工作如何体现为教学工作服务。</w:t>
      </w:r>
    </w:p>
    <w:p>
      <w:pPr>
        <w:spacing w:before="163" w:beforeLines="50" w:after="163" w:afterLines="50" w:line="400" w:lineRule="exact"/>
        <w:ind w:firstLine="480" w:firstLineChars="200"/>
      </w:pPr>
      <w:r>
        <w:rPr>
          <w:rFonts w:hint="eastAsia"/>
        </w:rPr>
        <w:t>（3）教学改革的做事及成效；培养的本科生有什么特色。</w:t>
      </w:r>
    </w:p>
    <w:p>
      <w:pPr>
        <w:spacing w:before="163" w:beforeLines="50" w:after="163" w:afterLines="50" w:line="400" w:lineRule="exact"/>
        <w:ind w:firstLine="480" w:firstLineChars="200"/>
      </w:pPr>
      <w:r>
        <w:rPr>
          <w:rFonts w:hint="eastAsia"/>
        </w:rPr>
        <w:t>（4）学风、教风、工作作风的情况；校园环境情况。</w:t>
      </w:r>
    </w:p>
    <w:p>
      <w:pPr>
        <w:spacing w:before="163" w:beforeLines="50" w:after="163" w:afterLines="50" w:line="400" w:lineRule="exact"/>
        <w:ind w:firstLine="480" w:firstLineChars="200"/>
      </w:pPr>
      <w:r>
        <w:rPr>
          <w:rFonts w:hint="eastAsia"/>
        </w:rPr>
        <w:t>（5）本科教学经费、教学设施、实验及实习设备、图书资料等情况。</w:t>
      </w:r>
    </w:p>
    <w:p>
      <w:pPr>
        <w:spacing w:before="163" w:beforeLines="50" w:after="163" w:afterLines="50" w:line="400" w:lineRule="exact"/>
        <w:ind w:firstLine="480" w:firstLineChars="200"/>
      </w:pPr>
      <w:r>
        <w:rPr>
          <w:rFonts w:hint="eastAsia"/>
        </w:rPr>
        <w:t>（6）本科生利用普通教室、多媒体教室、实验室和阅览室情况。</w:t>
      </w:r>
    </w:p>
    <w:p>
      <w:pPr>
        <w:spacing w:before="163" w:beforeLines="50" w:after="163" w:afterLines="50" w:line="400" w:lineRule="exact"/>
        <w:ind w:firstLine="480" w:firstLineChars="200"/>
      </w:pPr>
      <w:r>
        <w:rPr>
          <w:rFonts w:hint="eastAsia"/>
        </w:rPr>
        <w:t>（7）校内外实习基地建设、管理情况。</w:t>
      </w:r>
    </w:p>
    <w:p>
      <w:pPr>
        <w:spacing w:before="163" w:beforeLines="50" w:after="163" w:afterLines="50" w:line="400" w:lineRule="exact"/>
        <w:ind w:firstLine="480" w:firstLineChars="200"/>
      </w:pPr>
      <w:r>
        <w:rPr>
          <w:rFonts w:hint="eastAsia"/>
        </w:rPr>
        <w:t>（8）师资队伍情况，青年教师培养情况。</w:t>
      </w:r>
    </w:p>
    <w:p>
      <w:pPr>
        <w:spacing w:before="163" w:beforeLines="50" w:after="163" w:afterLines="50" w:line="400" w:lineRule="exact"/>
        <w:ind w:firstLine="480" w:firstLineChars="200"/>
      </w:pPr>
      <w:r>
        <w:rPr>
          <w:rFonts w:hint="eastAsia"/>
        </w:rPr>
        <w:t>（9）与本科教学工作密切相关的其他问题。</w:t>
      </w:r>
    </w:p>
    <w:p>
      <w:pPr>
        <w:spacing w:before="163" w:beforeLines="50" w:after="163" w:afterLines="50" w:line="400" w:lineRule="exact"/>
        <w:ind w:firstLine="562" w:firstLineChars="200"/>
        <w:rPr>
          <w:b/>
          <w:sz w:val="28"/>
          <w:szCs w:val="28"/>
        </w:rPr>
      </w:pPr>
      <w:r>
        <w:rPr>
          <w:rFonts w:hint="eastAsia"/>
          <w:b/>
          <w:sz w:val="28"/>
          <w:szCs w:val="28"/>
        </w:rPr>
        <w:t>23．专家听课主要看哪些指标？</w:t>
      </w:r>
    </w:p>
    <w:p>
      <w:pPr>
        <w:spacing w:before="163" w:beforeLines="50" w:after="163" w:afterLines="50" w:line="400" w:lineRule="exact"/>
        <w:ind w:firstLine="480" w:firstLineChars="200"/>
      </w:pPr>
      <w:r>
        <w:rPr>
          <w:rFonts w:hint="eastAsia"/>
        </w:rPr>
        <w:t>（1）讲课的热情、精神。</w:t>
      </w:r>
    </w:p>
    <w:p>
      <w:pPr>
        <w:spacing w:before="163" w:beforeLines="50" w:after="163" w:afterLines="50" w:line="400" w:lineRule="exact"/>
        <w:ind w:firstLine="480" w:firstLineChars="200"/>
      </w:pPr>
      <w:r>
        <w:rPr>
          <w:rFonts w:hint="eastAsia"/>
        </w:rPr>
        <w:t>（2）讲课的感染力，能否吸引学生的注意力。</w:t>
      </w:r>
    </w:p>
    <w:p>
      <w:pPr>
        <w:spacing w:before="163" w:beforeLines="50" w:after="163" w:afterLines="50" w:line="400" w:lineRule="exact"/>
        <w:ind w:firstLine="480" w:firstLineChars="200"/>
      </w:pPr>
      <w:r>
        <w:rPr>
          <w:rFonts w:hint="eastAsia"/>
        </w:rPr>
        <w:t>（3）对问题探索的深入浅出和启发性。</w:t>
      </w:r>
    </w:p>
    <w:p>
      <w:pPr>
        <w:spacing w:before="163" w:beforeLines="50" w:after="163" w:afterLines="50" w:line="400" w:lineRule="exact"/>
        <w:ind w:firstLine="480" w:firstLineChars="200"/>
      </w:pPr>
      <w:r>
        <w:rPr>
          <w:rFonts w:hint="eastAsia"/>
        </w:rPr>
        <w:t>（4）对问题的阐述是否简练准确、重点突出、思路清楚。</w:t>
      </w:r>
    </w:p>
    <w:p>
      <w:pPr>
        <w:spacing w:before="163" w:beforeLines="50" w:after="163" w:afterLines="50" w:line="400" w:lineRule="exact"/>
        <w:ind w:firstLine="480" w:firstLineChars="200"/>
      </w:pPr>
      <w:r>
        <w:rPr>
          <w:rFonts w:hint="eastAsia"/>
        </w:rPr>
        <w:t>（5）对讲课内容的娴熟及运用自如。</w:t>
      </w:r>
    </w:p>
    <w:p>
      <w:pPr>
        <w:spacing w:before="163" w:beforeLines="50" w:after="163" w:afterLines="50" w:line="400" w:lineRule="exact"/>
        <w:ind w:firstLine="480" w:firstLineChars="200"/>
      </w:pPr>
      <w:r>
        <w:rPr>
          <w:rFonts w:hint="eastAsia"/>
        </w:rPr>
        <w:t>（6）讲课内容的信息量。</w:t>
      </w:r>
    </w:p>
    <w:p>
      <w:pPr>
        <w:spacing w:before="163" w:beforeLines="50" w:after="163" w:afterLines="50" w:line="400" w:lineRule="exact"/>
        <w:ind w:firstLine="480" w:firstLineChars="200"/>
      </w:pPr>
      <w:r>
        <w:rPr>
          <w:rFonts w:hint="eastAsia"/>
        </w:rPr>
        <w:t>（7）教学内容能否反映或联系学科发展的新思想、新概念、新成果。</w:t>
      </w:r>
    </w:p>
    <w:p>
      <w:pPr>
        <w:spacing w:before="163" w:beforeLines="50" w:after="163" w:afterLines="50" w:line="400" w:lineRule="exact"/>
        <w:ind w:firstLine="480" w:firstLineChars="200"/>
      </w:pPr>
      <w:r>
        <w:rPr>
          <w:rFonts w:hint="eastAsia"/>
        </w:rPr>
        <w:t>（8）有无给学生思考、联想、创新的启迪。</w:t>
      </w:r>
    </w:p>
    <w:p>
      <w:pPr>
        <w:spacing w:before="163" w:beforeLines="50" w:after="163" w:afterLines="50" w:line="400" w:lineRule="exact"/>
        <w:ind w:firstLine="480" w:firstLineChars="200"/>
      </w:pPr>
      <w:r>
        <w:rPr>
          <w:rFonts w:hint="eastAsia"/>
        </w:rPr>
        <w:t>（9）能否调动学生的学习情绪，活跃课堂气氛。</w:t>
      </w:r>
    </w:p>
    <w:p>
      <w:pPr>
        <w:spacing w:before="163" w:beforeLines="50" w:after="163" w:afterLines="50" w:line="400" w:lineRule="exact"/>
        <w:ind w:firstLine="480" w:firstLineChars="200"/>
      </w:pPr>
      <w:r>
        <w:rPr>
          <w:rFonts w:hint="eastAsia"/>
        </w:rPr>
        <w:t>（10）有无有效地利用教学媒体。</w:t>
      </w:r>
    </w:p>
    <w:p>
      <w:pPr>
        <w:spacing w:before="163" w:beforeLines="50" w:after="163" w:afterLines="50" w:line="400" w:lineRule="exact"/>
        <w:ind w:firstLine="562" w:firstLineChars="200"/>
      </w:pPr>
      <w:r>
        <w:rPr>
          <w:rFonts w:hint="eastAsia"/>
          <w:b/>
          <w:sz w:val="28"/>
          <w:szCs w:val="28"/>
        </w:rPr>
        <w:t>24.审核评估需正确处理的几个关系</w:t>
      </w:r>
    </w:p>
    <w:p>
      <w:pPr>
        <w:spacing w:before="163" w:beforeLines="50" w:after="163" w:afterLines="50" w:line="400" w:lineRule="exact"/>
        <w:ind w:firstLine="480" w:firstLineChars="200"/>
      </w:pPr>
      <w:r>
        <w:rPr>
          <w:rFonts w:hint="eastAsia"/>
        </w:rPr>
        <w:t>学校在评估过程中应树立正确的评估价值取向。要以“平常心、正常态”对待自我评估过程，正确处理好以下几个关系：</w:t>
      </w:r>
    </w:p>
    <w:p>
      <w:pPr>
        <w:spacing w:before="163" w:beforeLines="50" w:after="163" w:afterLines="50" w:line="400" w:lineRule="exact"/>
        <w:ind w:firstLine="480" w:firstLineChars="200"/>
      </w:pPr>
      <w:r>
        <w:rPr>
          <w:rFonts w:hint="eastAsia"/>
        </w:rPr>
        <w:t>（1）正确处理评估方案与学校可持续发展的关系。学校应以可持续的内涵发展为目标来研究评估方案，扎实地开展评建工作，不用“过关”的思想来机械理解，使评建工作与学校发展规划、内涵发展和质量提高等紧密结合。</w:t>
      </w:r>
    </w:p>
    <w:p>
      <w:pPr>
        <w:spacing w:before="163" w:beforeLines="50" w:after="163" w:afterLines="50" w:line="400" w:lineRule="exact"/>
        <w:ind w:firstLine="480" w:firstLineChars="200"/>
      </w:pPr>
      <w:r>
        <w:rPr>
          <w:rFonts w:hint="eastAsia"/>
        </w:rPr>
        <w:t>（2）正确处理硬件建设与软件建设的关系。审核评估更突出软件建设，更注重人才培养目标的达成度。学校在自评工作中要依据审核评估范围，反复思考学校的目标是不是适应学生及社会发展的需要，资源条件有没有保障，措施是不是有效，结果是不是令人满意。硬件建设与软件建设要相辅相成，必须把二者结合起来，作为整体来设计学校的教学工作。</w:t>
      </w:r>
    </w:p>
    <w:p>
      <w:pPr>
        <w:spacing w:before="163" w:beforeLines="50" w:after="163" w:afterLines="50" w:line="400" w:lineRule="exact"/>
        <w:ind w:firstLine="480" w:firstLineChars="200"/>
      </w:pPr>
      <w:r>
        <w:rPr>
          <w:rFonts w:hint="eastAsia"/>
        </w:rPr>
        <w:t>（3）正确处理评估工作与日常工作之间的关系。要将评建过程寓于日常工作之中。学校的评建工作重点应放在教学工作的改革和建设、强化教学管理、提高教学质量上。日常建设应由相关职能部门和教学单位负责，评估机构不能代替职能部门开展评建工作。这样才能通过日常工作，达到以评促建的效果。</w:t>
      </w:r>
    </w:p>
    <w:p>
      <w:pPr>
        <w:spacing w:before="163" w:beforeLines="50" w:after="163" w:afterLines="50" w:line="400" w:lineRule="exact"/>
        <w:ind w:firstLine="480" w:firstLineChars="200"/>
      </w:pPr>
      <w:r>
        <w:rPr>
          <w:rFonts w:hint="eastAsia"/>
        </w:rPr>
        <w:t>（4）正确处理好审核评估与建立长效机制的关系。不要为评估而评估，学校要依据自身的质量目标建立和完善学校内部教学质量保障体系，建立有效的自我评估制度，把评估与质量保障有机地结合起来，形成学校教学工作的绩效评价体系，对学校教学建设、教学改革、教学管理水平和人才培养质量进行有效的控制和改进。</w:t>
      </w:r>
    </w:p>
    <w:p>
      <w:pPr>
        <w:spacing w:before="163" w:beforeLines="50" w:after="163" w:afterLines="50" w:line="400" w:lineRule="exact"/>
        <w:ind w:firstLine="562" w:firstLineChars="200"/>
        <w:rPr>
          <w:b/>
          <w:sz w:val="28"/>
          <w:szCs w:val="28"/>
        </w:rPr>
      </w:pPr>
      <w:r>
        <w:rPr>
          <w:rFonts w:hint="eastAsia"/>
          <w:b/>
          <w:sz w:val="28"/>
          <w:szCs w:val="28"/>
        </w:rPr>
        <w:t>25.学校对待审核评估的两种心态</w:t>
      </w:r>
    </w:p>
    <w:p>
      <w:pPr>
        <w:spacing w:before="163" w:beforeLines="50" w:after="163" w:afterLines="50" w:line="400" w:lineRule="exact"/>
        <w:ind w:firstLine="480" w:firstLineChars="200"/>
      </w:pPr>
      <w:r>
        <w:rPr>
          <w:rFonts w:hint="eastAsia"/>
        </w:rPr>
        <w:t>（1）以“平常心、正常态”对待评估</w:t>
      </w:r>
    </w:p>
    <w:p>
      <w:pPr>
        <w:spacing w:before="163" w:beforeLines="50" w:after="163" w:afterLines="50" w:line="400" w:lineRule="exact"/>
        <w:ind w:firstLine="480" w:firstLineChars="200"/>
      </w:pPr>
      <w:r>
        <w:rPr>
          <w:rFonts w:hint="eastAsia"/>
        </w:rPr>
        <w:t>一是学校领导的平常心态。专家进校考察是在学校自评自建基础上进行的，学校能以平和的心态，真实反映学校的实际工作状态和存在的问题，就能使专家进校工作更具指导性、针对性、实效性，学校获得的帮助和发展空间也越大。二是学校规章制度正常态。学校的规章制度需要一以贯之地执行，不要因为评估而临时制订特殊的规章制度，更不能对发现的问题，尤其是制度文件、试卷、毕业论文/设计的问题，组织人员进行突击修改，破坏材料的原始性和真实性，而应认真分析存在的问题的原因，提出整改的措施并实施。使广大师生真实感受到评估工作促进了学校的工作，能自觉参加评建工作。三是学校教学秩序正常态。专家进校考察期间，参评学校应该保证教学秩序的正常化，不能因专家到校而更改教学进程、变更课程安排、更换任课教师等。</w:t>
      </w:r>
    </w:p>
    <w:p>
      <w:pPr>
        <w:spacing w:before="163" w:beforeLines="50" w:after="163" w:afterLines="50" w:line="400" w:lineRule="exact"/>
        <w:ind w:firstLine="480" w:firstLineChars="200"/>
      </w:pPr>
      <w:r>
        <w:rPr>
          <w:rFonts w:hint="eastAsia"/>
        </w:rPr>
        <w:t>（2）以“学习心、开放态”参与评估</w:t>
      </w:r>
    </w:p>
    <w:p>
      <w:pPr>
        <w:spacing w:before="163" w:beforeLines="50" w:after="163" w:afterLines="50" w:line="400" w:lineRule="exact"/>
        <w:ind w:firstLine="480" w:firstLineChars="200"/>
      </w:pPr>
      <w:r>
        <w:rPr>
          <w:rFonts w:hint="eastAsia"/>
        </w:rPr>
        <w:t>一是要树立主人翁意识。参评学校要树立主体意识和主人翁意识，从为提高我国高等教育质量做出贡献、促进学校内涵发展的大局出发，积极主动地配合专家的考察活动。二是要真诚与专家交流。参评学校要以学习的心态对待专家进校评估考察，真诚地听取专家的意见和建议，吸取他们在办学治校中的成功经验或教训；要以开放的心态参与专家进校考察，既要充分展示成绩，也不掩饰和回避问题，与专家们共同分析探讨发展的问题或困惑，共同讨论对策措施，使专家更好地为学校发展服务。</w:t>
      </w:r>
    </w:p>
    <w:p>
      <w:pPr>
        <w:spacing w:before="163" w:beforeLines="50" w:after="163" w:afterLines="50" w:line="400" w:lineRule="exact"/>
        <w:ind w:firstLine="562" w:firstLineChars="200"/>
        <w:rPr>
          <w:b/>
          <w:sz w:val="28"/>
          <w:szCs w:val="28"/>
        </w:rPr>
      </w:pPr>
      <w:r>
        <w:rPr>
          <w:rFonts w:hint="eastAsia"/>
          <w:b/>
          <w:sz w:val="28"/>
          <w:szCs w:val="28"/>
        </w:rPr>
        <w:t>26.专家组进校考察主要内容</w:t>
      </w:r>
    </w:p>
    <w:p>
      <w:pPr>
        <w:spacing w:before="163" w:beforeLines="50" w:after="163" w:afterLines="50" w:line="400" w:lineRule="exact"/>
        <w:ind w:firstLine="480" w:firstLineChars="200"/>
      </w:pPr>
      <w:r>
        <w:rPr>
          <w:rFonts w:hint="eastAsia"/>
        </w:rPr>
        <w:t>（1）专家组预备会。专家组正式考察前一天，召开专家组预备会议，明确专家组的工作模式，坚持全面考察、独立判断，不能对审核项目进行分工。预备会后，需确定考察第一天各位专家的工作内容，包括听课看课、现场观察、深度访谈、查阅毕业论文和试卷等。</w:t>
      </w:r>
    </w:p>
    <w:p>
      <w:pPr>
        <w:spacing w:before="163" w:beforeLines="50" w:after="163" w:afterLines="50" w:line="400" w:lineRule="exact"/>
        <w:ind w:firstLine="480" w:firstLineChars="200"/>
      </w:pPr>
      <w:r>
        <w:rPr>
          <w:rFonts w:hint="eastAsia"/>
        </w:rPr>
        <w:t>（2）评估见面会。是专家组与参评学校共同召开的第一次会议，也是评估考察中的第一个会议。不举行评估开幕式、校长报告、文艺汇报演出等大型会议和演出。参评学校主要领导和评估相关人员，如教务处、评建办、主要职能部门领导、教学单位负责人等参加会议，人数一般不超过 50人。会上，参评学校可以对自评报告之外的内容做特别补充说明，时长 15分钟左右。如有必要，专家可针对存疑问题向参评学校提问，时长不超过 10分钟。评估见面会一般不建议邀请参评学校主管部门的领导出席。</w:t>
      </w:r>
    </w:p>
    <w:p>
      <w:pPr>
        <w:spacing w:before="163" w:beforeLines="50" w:after="163" w:afterLines="50" w:line="400" w:lineRule="exact"/>
        <w:ind w:firstLine="480" w:firstLineChars="200"/>
      </w:pPr>
      <w:r>
        <w:rPr>
          <w:rFonts w:hint="eastAsia"/>
        </w:rPr>
        <w:t>（3）集体考察。并非评估考察中必备的环节，可由专家组组长决定是否进行。如果进行集体考察，时间须控制在 90分钟以内。</w:t>
      </w:r>
    </w:p>
    <w:p>
      <w:pPr>
        <w:spacing w:before="163" w:beforeLines="50" w:after="163" w:afterLines="50" w:line="400" w:lineRule="exact"/>
        <w:ind w:firstLine="480" w:firstLineChars="200"/>
      </w:pPr>
      <w:r>
        <w:rPr>
          <w:rFonts w:hint="eastAsia"/>
        </w:rPr>
        <w:t>（4）专家个人考察。包括深度访谈，听课看课，考察实验室、校内外实习、实训基地，查阅材料，考察基础设施，如体育场馆、图书馆、食堂、宿舍等为学生提供全面发展所赖以支撑的基本条件是否达标，了解参评学校人才培养对社会的影响和社会用人单位对学生的评价等。每位专家听课看课不少于3门，调阅不少于 2个专业的毕业设计主（设计）和不少于 3门课程的试卷和试卷分析报告。</w:t>
      </w:r>
    </w:p>
    <w:p>
      <w:pPr>
        <w:spacing w:before="163" w:beforeLines="50" w:after="163" w:afterLines="50" w:line="400" w:lineRule="exact"/>
        <w:ind w:firstLine="480" w:firstLineChars="200"/>
      </w:pPr>
      <w:r>
        <w:rPr>
          <w:rFonts w:hint="eastAsia"/>
        </w:rPr>
        <w:t>（5）专家意见反馈会。安排在最后一天下午，专家组成员分别发表个人反馈意见，专家组组长就考察的情况对参评学校进行较为全面价和反馈，其他专家仅针对考察中发现的参评学校存在的问题和工作建议发表个人的意见。</w:t>
      </w:r>
    </w:p>
    <w:p>
      <w:pPr>
        <w:pStyle w:val="8"/>
        <w:spacing w:before="0" w:beforeAutospacing="0" w:after="0" w:afterAutospacing="0"/>
      </w:pPr>
    </w:p>
    <w:p>
      <w:pPr>
        <w:widowControl/>
        <w:jc w:val="left"/>
        <w:rPr>
          <w:b/>
          <w:sz w:val="32"/>
          <w:szCs w:val="32"/>
        </w:rPr>
      </w:pPr>
      <w:r>
        <w:rPr>
          <w:b/>
          <w:sz w:val="32"/>
          <w:szCs w:val="32"/>
        </w:rPr>
        <w:br w:type="page"/>
      </w:r>
    </w:p>
    <w:p>
      <w:pPr>
        <w:spacing w:before="163" w:beforeLines="50" w:after="163" w:afterLines="50" w:line="400" w:lineRule="exact"/>
        <w:ind w:firstLine="643" w:firstLineChars="200"/>
        <w:jc w:val="center"/>
        <w:rPr>
          <w:b/>
          <w:sz w:val="32"/>
          <w:szCs w:val="32"/>
        </w:rPr>
      </w:pPr>
      <w:r>
        <w:rPr>
          <w:rFonts w:hint="eastAsia"/>
          <w:b/>
          <w:sz w:val="32"/>
          <w:szCs w:val="32"/>
        </w:rPr>
        <w:t>第二部分浙江科技学院本科教学概况</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1．我校办学历史有多久？</w:t>
      </w:r>
    </w:p>
    <w:p>
      <w:pPr>
        <w:adjustRightInd w:val="0"/>
        <w:snapToGrid w:val="0"/>
        <w:spacing w:line="360" w:lineRule="auto"/>
        <w:ind w:firstLine="560"/>
        <w:rPr>
          <w:rFonts w:ascii="宋体" w:hAnsi="宋体" w:cs="宋体"/>
          <w:bCs/>
          <w:kern w:val="0"/>
        </w:rPr>
      </w:pPr>
      <w:r>
        <w:rPr>
          <w:rFonts w:hint="eastAsia" w:ascii="宋体" w:hAnsi="宋体" w:cs="宋体"/>
          <w:bCs/>
          <w:kern w:val="0"/>
        </w:rPr>
        <w:t>浙江科技学院的前身为成立于1980年的浙江大学附属杭州工业专科学校，先后经历了浙江大学附属杭州高等专科学校、杭州高等专科学校、杭州应用工程技术学院等发展阶段。2001年8月更名为浙江科技学院。经过30余年的建设，学校已发展成为一所具有硕士、学士学位授予权和外国留学生、港澳台学生招生权的特色鲜明的应用型省属本科高校。</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2．我校办学理念是什么？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w:t>
      </w:r>
      <w:r>
        <w:rPr>
          <w:rFonts w:ascii="宋体" w:hAnsi="宋体"/>
        </w:rPr>
        <w:t>学以致用、全面发展</w:t>
      </w:r>
      <w:r>
        <w:rPr>
          <w:rFonts w:hint="eastAsia" w:asciiTheme="minorEastAsia" w:hAnsiTheme="minorEastAsia"/>
        </w:rPr>
        <w:t>”。</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3．我校校训是什么？内涵是什么？</w:t>
      </w:r>
    </w:p>
    <w:p>
      <w:pPr>
        <w:spacing w:before="163" w:beforeLines="50" w:after="163" w:afterLines="50" w:line="400" w:lineRule="exact"/>
        <w:ind w:firstLine="480" w:firstLineChars="200"/>
        <w:rPr>
          <w:rFonts w:asciiTheme="minorEastAsia" w:hAnsiTheme="minorEastAsia"/>
        </w:rPr>
      </w:pPr>
      <w:r>
        <w:rPr>
          <w:rFonts w:hint="eastAsia" w:ascii="宋体" w:hAnsi="宋体" w:cs="宋体"/>
          <w:bCs/>
          <w:kern w:val="0"/>
        </w:rPr>
        <w:t>浙江科技学院</w:t>
      </w:r>
      <w:r>
        <w:rPr>
          <w:rFonts w:hint="eastAsia" w:asciiTheme="minorEastAsia" w:hAnsiTheme="minorEastAsia"/>
        </w:rPr>
        <w:t>校训：崇德-尚用-求真-创新。</w:t>
      </w:r>
    </w:p>
    <w:p>
      <w:pPr>
        <w:spacing w:before="163" w:beforeLines="50" w:after="163" w:afterLines="50" w:line="400" w:lineRule="exact"/>
        <w:ind w:firstLine="480" w:firstLineChars="200"/>
        <w:rPr>
          <w:rFonts w:asciiTheme="minorEastAsia" w:hAnsiTheme="minorEastAsia"/>
        </w:rPr>
      </w:pPr>
      <w:r>
        <w:rPr>
          <w:rFonts w:hint="eastAsia" w:ascii="宋体" w:hAnsi="宋体" w:cs="宋体"/>
          <w:bCs/>
          <w:kern w:val="0"/>
        </w:rPr>
        <w:t>浙江科技学院</w:t>
      </w:r>
      <w:r>
        <w:rPr>
          <w:rFonts w:hint="eastAsia" w:asciiTheme="minorEastAsia" w:hAnsiTheme="minorEastAsia"/>
        </w:rPr>
        <w:t>校训的内涵：</w:t>
      </w:r>
    </w:p>
    <w:p>
      <w:pPr>
        <w:pStyle w:val="8"/>
        <w:spacing w:before="0" w:beforeAutospacing="0" w:after="226" w:afterAutospacing="0" w:line="360" w:lineRule="atLeast"/>
        <w:ind w:firstLine="420"/>
      </w:pPr>
      <w:r>
        <w:t>“崇德”：“崇”，指推崇、尊崇、推重；“德”，指人的道德、德行、品质、品格。《尚书·周书·微子之命》：“惟稽古,崇德象贤。”《周易·系辞上》：“崇德而广业。”魏王弼注：“穷理入神，其德崇也；兼济万物，其业广也。”《礼记·王制》：“上贤以崇德。”该校秉持“崇德”精神，既尊承中华优秀文化传统，推崇“育人为本、德育为先”教育理念，悉心培育莘莘学子崇仰高尚道德之情怀，更突显学校致力于为祖国煌煌伟业培养输送更多德才兼备建设者接班人之根本办学目标。</w:t>
      </w:r>
    </w:p>
    <w:p>
      <w:pPr>
        <w:pStyle w:val="8"/>
        <w:spacing w:before="0" w:beforeAutospacing="0" w:after="226" w:afterAutospacing="0" w:line="360" w:lineRule="atLeast"/>
        <w:ind w:firstLine="420"/>
      </w:pPr>
      <w:r>
        <w:t>“尚用”：“尚”，指尊崇、崇尚。《广雅》：“尚,上也。”“用”，指运用、应用。《说文》：“用，可施行也。”《周易·系辞上》：“备物致用，立成器以为天下利。”“尚用”也为宋代浙江思想家陈亮、叶适等人崇尚事功思想之精华，传承千载，绵延不绝，乃为今日浙江精神之渊源。该校秉持“尚用”理念，着意彰显崇实尚用、知行合一、学术愈精、能力愈强、应用愈广、贡献愈著之办学特色与决心。</w:t>
      </w:r>
    </w:p>
    <w:p>
      <w:pPr>
        <w:pStyle w:val="8"/>
        <w:spacing w:before="0" w:beforeAutospacing="0" w:after="226" w:afterAutospacing="0" w:line="360" w:lineRule="atLeast"/>
        <w:ind w:firstLine="420"/>
      </w:pPr>
      <w:r>
        <w:t>“求真”：“求”，指探索、追求。《玉篇》：“求，索也。”《孟子·告子上》：“求则得之，舍则失之。”“真”，即本原与客观事实相符合。《庄子·秋水》：“谨守而勿失，是谓反其真。”《闽中理学渊源考》：“求真于未始有伪之先，而性之真可见矣。”该校秉持“求真”精神，昭示追求真理、崇尚科学、实事求是、探索规律、严谨治学、终身学习之坚毅信心。</w:t>
      </w:r>
    </w:p>
    <w:p>
      <w:pPr>
        <w:pStyle w:val="8"/>
        <w:spacing w:before="0" w:beforeAutospacing="0" w:after="226" w:afterAutospacing="0" w:line="360" w:lineRule="atLeast"/>
        <w:ind w:firstLine="420"/>
        <w:rPr>
          <w:rFonts w:asciiTheme="minorEastAsia" w:hAnsiTheme="minorEastAsia"/>
          <w:b/>
          <w:sz w:val="28"/>
          <w:szCs w:val="28"/>
          <w:highlight w:val="green"/>
        </w:rPr>
      </w:pPr>
      <w:r>
        <w:t>“创新”：“创”，开始、创造、创建。《广雅》：“创，始也。”《孟子·梁惠王下》：“君子创业垂统，为可继也。”《国语·周语》：“以创制天下。”“新”，初生之物，与“旧”相对。《礼记·大学》：“汤之《盘铭》曰：‘苟日新，日日新，又日新。’《康诰》曰：‘作新民。’《诗》曰：‘周虽旧邦，其命维新。’”郑玄注：“君子日新其德，常尽心力不有余也。”该校秉持“创新”精神，以之为灵魂，为动力，体现与时俱进、改革发展、开拓进取</w:t>
      </w:r>
      <w:bookmarkStart w:id="0" w:name="1178757-1246817-4_3"/>
      <w:bookmarkEnd w:id="0"/>
      <w:r>
        <w:rPr>
          <w:rFonts w:hint="eastAsia"/>
        </w:rPr>
        <w:t>、</w:t>
      </w:r>
      <w:r>
        <w:t>锐意前行、追求卓越、实干进位之不懈追求。</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4．我校办学指导思想是什么? </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以中国特色社会主义理论体系为指导，全面贯彻党的教育方针，</w:t>
      </w:r>
      <w:r>
        <w:rPr>
          <w:rFonts w:ascii="宋体" w:hAnsi="宋体" w:eastAsia="宋体" w:cs="宋体"/>
          <w:kern w:val="0"/>
        </w:rPr>
        <w:t>遵循高等教育发展规律，</w:t>
      </w:r>
      <w:r>
        <w:rPr>
          <w:rFonts w:hint="eastAsia" w:ascii="宋体" w:hAnsi="宋体" w:eastAsia="宋体" w:cs="宋体"/>
          <w:kern w:val="0"/>
        </w:rPr>
        <w:t>高举现代化应用型大学旗帜，以立德树人为根本任务，以内涵建设为主题，改革创新，特色发展，追求卓越，不断</w:t>
      </w:r>
      <w:r>
        <w:rPr>
          <w:rFonts w:ascii="宋体" w:hAnsi="宋体" w:eastAsia="宋体" w:cs="宋体"/>
          <w:kern w:val="0"/>
        </w:rPr>
        <w:t>提高人才培养、科学研究、社会服务</w:t>
      </w:r>
      <w:r>
        <w:rPr>
          <w:rFonts w:hint="eastAsia" w:ascii="宋体" w:hAnsi="宋体" w:eastAsia="宋体" w:cs="宋体"/>
          <w:kern w:val="0"/>
        </w:rPr>
        <w:t>和</w:t>
      </w:r>
      <w:r>
        <w:rPr>
          <w:rFonts w:ascii="宋体" w:hAnsi="宋体" w:eastAsia="宋体" w:cs="宋体"/>
          <w:kern w:val="0"/>
        </w:rPr>
        <w:t>文化</w:t>
      </w:r>
      <w:r>
        <w:rPr>
          <w:rFonts w:hint="eastAsia" w:ascii="宋体" w:hAnsi="宋体" w:eastAsia="宋体" w:cs="宋体"/>
          <w:kern w:val="0"/>
        </w:rPr>
        <w:t>引领</w:t>
      </w:r>
      <w:r>
        <w:rPr>
          <w:rFonts w:ascii="宋体" w:hAnsi="宋体" w:eastAsia="宋体" w:cs="宋体"/>
          <w:kern w:val="0"/>
        </w:rPr>
        <w:t>的能力水平，</w:t>
      </w:r>
      <w:r>
        <w:rPr>
          <w:rFonts w:hint="eastAsia" w:ascii="宋体" w:hAnsi="宋体" w:eastAsia="宋体" w:cs="宋体"/>
          <w:kern w:val="0"/>
        </w:rPr>
        <w:t>为区域经济社会发展和科教人才强省建设作出应有贡献。</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5．我校办学总体战略目标是什么？</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“建成特色鲜明的现代化应用型大学”。</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6．我校今后奋斗目标是什么？</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学校发展的目标是：建成特色鲜明的现代化应用型大学。</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特色鲜明:一是坚持错位发展、特色名校，坚持“应用型、国际化”办学特色，不断强化国际化办学的广度、深度和厚度，不断提升应用型人才培养水平、应用科学研究水平和社会服务水平；二是按照“每条线争创特色”的要求，拒绝平庸，追求卓越，鼓励各类关键性、非关键性指标的突破创新，实现综合提升。</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现代化：放眼国际视野、遵循高教规律、主动适应现代社会变革，完善现代大学制度，强化现代教育理念，提高现代教育质量，强化智慧管理，优化资源管理，提升现代大学文化，为社会培养符合需求、全面发展的人才。</w:t>
      </w:r>
    </w:p>
    <w:p>
      <w:pPr>
        <w:spacing w:before="163" w:beforeLines="50" w:after="163" w:afterLines="50" w:line="400" w:lineRule="exact"/>
        <w:ind w:firstLine="480" w:firstLineChars="200"/>
        <w:rPr>
          <w:rFonts w:ascii="宋体" w:hAnsi="宋体" w:eastAsia="宋体" w:cs="宋体"/>
          <w:kern w:val="0"/>
        </w:rPr>
      </w:pPr>
      <w:r>
        <w:rPr>
          <w:rFonts w:hint="eastAsia" w:ascii="宋体" w:hAnsi="宋体" w:eastAsia="宋体" w:cs="宋体"/>
          <w:kern w:val="0"/>
        </w:rPr>
        <w:t>应用型：应用型是办学类型，而非办学层次。要通过加强学科建设，来提升人才培养和社会服务水平，提高学校综合实力。要着眼区域经济发展的社会需求，不断强化和彰显我校应用型大学的主要特征：人才培养强调技术创新和实践能力，师资队伍建设注重学术研究能力和企业实践素养的统一，学科专业建设突出学科交叉和面向行业产业协同创新，科学研究侧重应用科学研究和技术成果转化。</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7．我校人才培养总目标定位是什么？</w:t>
      </w:r>
    </w:p>
    <w:p>
      <w:pPr>
        <w:spacing w:before="163" w:beforeLines="50" w:after="163" w:afterLines="50" w:line="400" w:lineRule="exact"/>
        <w:ind w:firstLine="480" w:firstLineChars="200"/>
        <w:rPr>
          <w:rFonts w:ascii="宋体" w:hAnsi="宋体"/>
        </w:rPr>
      </w:pPr>
      <w:r>
        <w:rPr>
          <w:rFonts w:hint="eastAsia" w:ascii="宋体" w:hAnsi="宋体"/>
        </w:rPr>
        <w:t>学校</w:t>
      </w:r>
      <w:r>
        <w:rPr>
          <w:rFonts w:ascii="宋体" w:hAnsi="宋体"/>
        </w:rPr>
        <w:t>按照</w:t>
      </w:r>
      <w:r>
        <w:rPr>
          <w:rFonts w:hint="eastAsia" w:ascii="宋体" w:hAnsi="宋体"/>
        </w:rPr>
        <w:t>“国际化、应用型”的特色发展要求和“</w:t>
      </w:r>
      <w:r>
        <w:rPr>
          <w:rFonts w:ascii="宋体" w:hAnsi="宋体"/>
        </w:rPr>
        <w:t>学以致用、全面发展</w:t>
      </w:r>
      <w:r>
        <w:rPr>
          <w:rFonts w:hint="eastAsia" w:ascii="宋体" w:hAnsi="宋体"/>
        </w:rPr>
        <w:t>”</w:t>
      </w:r>
      <w:r>
        <w:rPr>
          <w:rFonts w:ascii="宋体" w:hAnsi="宋体"/>
        </w:rPr>
        <w:t>的育人理念</w:t>
      </w:r>
      <w:r>
        <w:rPr>
          <w:rFonts w:hint="eastAsia" w:ascii="宋体" w:hAnsi="宋体"/>
        </w:rPr>
        <w:t>，致力于培养具有家国情怀、社会责任感、创新创业能力、应用实践能力、可持续发展能力及国际视野的高素质应用型人才。人才培养主要服务于浙江经济和社会发展需要，对接浙江主导产业和战略性新兴产业，面向长三角，辐射全国。</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8．我校办学规模如何？</w:t>
      </w:r>
    </w:p>
    <w:p>
      <w:pPr>
        <w:adjustRightInd w:val="0"/>
        <w:snapToGrid w:val="0"/>
        <w:spacing w:before="163" w:after="163" w:line="360" w:lineRule="auto"/>
        <w:rPr>
          <w:rFonts w:asciiTheme="minorEastAsia" w:hAnsiTheme="minorEastAsia"/>
          <w:highlight w:val="red"/>
        </w:rPr>
      </w:pPr>
      <w:r>
        <w:rPr>
          <w:rFonts w:hint="eastAsia" w:ascii="宋体" w:hAnsi="宋体" w:cs="宋体"/>
          <w:bCs/>
          <w:kern w:val="0"/>
        </w:rPr>
        <w:t xml:space="preserve">    学校现有小和山、安吉2个校区。小和山校区位于素有人间天堂的历史文化名城杭州市，校园土地面积1300余亩，建筑面积47万平方米；安吉校区位于拥有联合国人居奖美誉的竹乡安吉，一期土地面积500亩，建筑面积16.5万平方米。学校下设13个二级学院、2个教学部（中心）；现有55个本科专业、3个硕士学位授权一级学科、20个硕士学位授权二级学科和2个硕士专业学位授权点。学校面向全国24个省（区、市）招生；现有全日制本科生、研究生17000余名；留学生1700余名，其中学历生1100余人。学校教学科研仪器设备总值3.6亿元，图书475万册（含电子图书）。</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9．我校有多少本科专业？</w:t>
      </w:r>
    </w:p>
    <w:p>
      <w:pPr>
        <w:spacing w:before="163" w:beforeLines="50" w:after="163" w:afterLines="50" w:line="400" w:lineRule="exact"/>
        <w:ind w:firstLine="480" w:firstLineChars="200"/>
        <w:rPr>
          <w:rFonts w:asciiTheme="minorEastAsia" w:hAnsiTheme="minorEastAsia"/>
        </w:rPr>
      </w:pPr>
      <w:r>
        <w:rPr>
          <w:rFonts w:hint="eastAsia" w:ascii="宋体" w:hAnsi="宋体"/>
        </w:rPr>
        <w:t>学校现有55个本科专业</w:t>
      </w:r>
      <w:r>
        <w:rPr>
          <w:rFonts w:hint="eastAsia" w:asciiTheme="minorEastAsia" w:hAnsiTheme="minorEastAsia"/>
        </w:rPr>
        <w:t>，</w:t>
      </w:r>
      <w:r>
        <w:rPr>
          <w:rFonts w:hint="eastAsia" w:ascii="宋体" w:hAnsi="宋体"/>
        </w:rPr>
        <w:t>分布在工学、管理学、艺术学、经济学、理学、文学6个学科门类</w:t>
      </w:r>
      <w:r>
        <w:rPr>
          <w:rFonts w:hint="eastAsia" w:asciiTheme="minorEastAsia" w:hAnsiTheme="minorEastAsia"/>
        </w:rPr>
        <w:t>。</w:t>
      </w:r>
    </w:p>
    <w:p>
      <w:pPr>
        <w:spacing w:line="312" w:lineRule="auto"/>
        <w:jc w:val="center"/>
        <w:rPr>
          <w:rFonts w:ascii="宋体" w:hAnsi="宋体" w:cs="仿宋_GB2312"/>
          <w:szCs w:val="21"/>
        </w:rPr>
      </w:pPr>
    </w:p>
    <w:p>
      <w:pPr>
        <w:spacing w:line="312" w:lineRule="auto"/>
        <w:jc w:val="center"/>
        <w:rPr>
          <w:rFonts w:ascii="宋体" w:hAnsi="宋体" w:cs="仿宋_GB2312"/>
          <w:kern w:val="0"/>
          <w:szCs w:val="21"/>
        </w:rPr>
      </w:pPr>
      <w:r>
        <w:rPr>
          <w:rFonts w:hint="eastAsia" w:ascii="宋体" w:hAnsi="宋体" w:cs="仿宋_GB2312"/>
          <w:szCs w:val="21"/>
        </w:rPr>
        <w:t>浙江科技学院现有</w:t>
      </w:r>
      <w:r>
        <w:rPr>
          <w:rFonts w:hint="eastAsia" w:ascii="宋体" w:hAnsi="宋体" w:cs="仿宋_GB2312"/>
          <w:kern w:val="0"/>
          <w:szCs w:val="21"/>
        </w:rPr>
        <w:t>本科专业设置情况一览表</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567"/>
        <w:gridCol w:w="752"/>
        <w:gridCol w:w="1820"/>
        <w:gridCol w:w="787"/>
        <w:gridCol w:w="760"/>
        <w:gridCol w:w="706"/>
        <w:gridCol w:w="853"/>
        <w:gridCol w:w="994"/>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exact"/>
          <w:tblHeader/>
          <w:jc w:val="center"/>
        </w:trPr>
        <w:tc>
          <w:tcPr>
            <w:tcW w:w="525" w:type="dxa"/>
          </w:tcPr>
          <w:p>
            <w:pPr>
              <w:widowControl/>
              <w:snapToGrid w:val="0"/>
              <w:spacing w:line="240" w:lineRule="atLeast"/>
              <w:jc w:val="center"/>
              <w:rPr>
                <w:rFonts w:ascii="宋体" w:hAnsi="宋体" w:cs="仿宋_GB2312"/>
                <w:b/>
                <w:kern w:val="0"/>
              </w:rPr>
            </w:pPr>
            <w:r>
              <w:rPr>
                <w:rFonts w:hint="eastAsia" w:ascii="宋体" w:hAnsi="宋体" w:cs="仿宋_GB2312"/>
                <w:b/>
                <w:kern w:val="0"/>
              </w:rPr>
              <w:t>专业类序号</w:t>
            </w:r>
          </w:p>
        </w:tc>
        <w:tc>
          <w:tcPr>
            <w:tcW w:w="567"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专业序号</w:t>
            </w:r>
          </w:p>
        </w:tc>
        <w:tc>
          <w:tcPr>
            <w:tcW w:w="752"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专业</w:t>
            </w:r>
          </w:p>
          <w:p>
            <w:pPr>
              <w:widowControl/>
              <w:snapToGrid w:val="0"/>
              <w:spacing w:line="240" w:lineRule="atLeast"/>
              <w:jc w:val="center"/>
              <w:rPr>
                <w:rFonts w:ascii="宋体" w:hAnsi="宋体" w:cs="仿宋_GB2312"/>
                <w:b/>
                <w:kern w:val="0"/>
              </w:rPr>
            </w:pPr>
            <w:r>
              <w:rPr>
                <w:rFonts w:hint="eastAsia" w:ascii="宋体" w:hAnsi="宋体" w:cs="仿宋_GB2312"/>
                <w:b/>
                <w:kern w:val="0"/>
              </w:rPr>
              <w:t>代码</w:t>
            </w:r>
          </w:p>
        </w:tc>
        <w:tc>
          <w:tcPr>
            <w:tcW w:w="1820"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专业名称</w:t>
            </w:r>
          </w:p>
        </w:tc>
        <w:tc>
          <w:tcPr>
            <w:tcW w:w="787"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学科</w:t>
            </w:r>
          </w:p>
          <w:p>
            <w:pPr>
              <w:widowControl/>
              <w:snapToGrid w:val="0"/>
              <w:spacing w:line="240" w:lineRule="atLeast"/>
              <w:jc w:val="center"/>
              <w:rPr>
                <w:rFonts w:ascii="宋体" w:hAnsi="宋体" w:cs="仿宋_GB2312"/>
                <w:b/>
                <w:kern w:val="0"/>
              </w:rPr>
            </w:pPr>
            <w:r>
              <w:rPr>
                <w:rFonts w:hint="eastAsia" w:ascii="宋体" w:hAnsi="宋体" w:cs="仿宋_GB2312"/>
                <w:b/>
                <w:kern w:val="0"/>
              </w:rPr>
              <w:t>门类</w:t>
            </w:r>
          </w:p>
        </w:tc>
        <w:tc>
          <w:tcPr>
            <w:tcW w:w="760"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专业类</w:t>
            </w:r>
          </w:p>
        </w:tc>
        <w:tc>
          <w:tcPr>
            <w:tcW w:w="706" w:type="dxa"/>
          </w:tcPr>
          <w:p>
            <w:pPr>
              <w:widowControl/>
              <w:snapToGrid w:val="0"/>
              <w:spacing w:line="240" w:lineRule="atLeast"/>
              <w:jc w:val="center"/>
              <w:rPr>
                <w:rFonts w:ascii="宋体" w:hAnsi="宋体" w:cs="仿宋_GB2312"/>
                <w:b/>
                <w:kern w:val="0"/>
              </w:rPr>
            </w:pPr>
            <w:r>
              <w:rPr>
                <w:rFonts w:hint="eastAsia" w:ascii="宋体" w:hAnsi="宋体" w:cs="仿宋_GB2312"/>
                <w:b/>
                <w:kern w:val="0"/>
              </w:rPr>
              <w:t>授予</w:t>
            </w:r>
          </w:p>
          <w:p>
            <w:pPr>
              <w:widowControl/>
              <w:snapToGrid w:val="0"/>
              <w:spacing w:line="240" w:lineRule="atLeast"/>
              <w:jc w:val="center"/>
              <w:rPr>
                <w:rFonts w:ascii="宋体" w:hAnsi="宋体" w:cs="仿宋_GB2312"/>
                <w:b/>
                <w:kern w:val="0"/>
              </w:rPr>
            </w:pPr>
            <w:r>
              <w:rPr>
                <w:rFonts w:hint="eastAsia" w:ascii="宋体" w:hAnsi="宋体" w:cs="仿宋_GB2312"/>
                <w:b/>
                <w:kern w:val="0"/>
              </w:rPr>
              <w:t>学位</w:t>
            </w:r>
          </w:p>
        </w:tc>
        <w:tc>
          <w:tcPr>
            <w:tcW w:w="853"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设置</w:t>
            </w:r>
          </w:p>
          <w:p>
            <w:pPr>
              <w:widowControl/>
              <w:snapToGrid w:val="0"/>
              <w:spacing w:line="240" w:lineRule="atLeast"/>
              <w:jc w:val="center"/>
              <w:rPr>
                <w:rFonts w:ascii="宋体" w:hAnsi="宋体" w:cs="仿宋_GB2312"/>
                <w:b/>
                <w:kern w:val="0"/>
              </w:rPr>
            </w:pPr>
            <w:r>
              <w:rPr>
                <w:rFonts w:hint="eastAsia" w:ascii="宋体" w:hAnsi="宋体" w:cs="仿宋_GB2312"/>
                <w:b/>
                <w:kern w:val="0"/>
              </w:rPr>
              <w:t>时间</w:t>
            </w:r>
          </w:p>
        </w:tc>
        <w:tc>
          <w:tcPr>
            <w:tcW w:w="994" w:type="dxa"/>
            <w:vAlign w:val="center"/>
          </w:tcPr>
          <w:p>
            <w:pPr>
              <w:widowControl/>
              <w:snapToGrid w:val="0"/>
              <w:spacing w:line="240" w:lineRule="atLeast"/>
              <w:jc w:val="center"/>
              <w:rPr>
                <w:rFonts w:ascii="宋体" w:hAnsi="宋体" w:cs="仿宋_GB2312"/>
                <w:b/>
                <w:kern w:val="0"/>
              </w:rPr>
            </w:pPr>
            <w:r>
              <w:rPr>
                <w:rFonts w:hint="eastAsia" w:ascii="宋体" w:hAnsi="宋体" w:cs="仿宋_GB2312"/>
                <w:b/>
                <w:kern w:val="0"/>
              </w:rPr>
              <w:t>专业建设平台</w:t>
            </w:r>
          </w:p>
        </w:tc>
        <w:tc>
          <w:tcPr>
            <w:tcW w:w="758" w:type="dxa"/>
          </w:tcPr>
          <w:p>
            <w:pPr>
              <w:widowControl/>
              <w:snapToGrid w:val="0"/>
              <w:spacing w:line="240" w:lineRule="atLeast"/>
              <w:jc w:val="center"/>
              <w:rPr>
                <w:rFonts w:ascii="宋体" w:hAnsi="宋体" w:cs="仿宋_GB2312"/>
                <w:b/>
                <w:kern w:val="0"/>
              </w:rPr>
            </w:pPr>
            <w:r>
              <w:rPr>
                <w:rFonts w:hint="eastAsia" w:ascii="宋体" w:hAnsi="宋体" w:cs="仿宋_GB2312"/>
                <w:b/>
                <w:kern w:val="0"/>
              </w:rPr>
              <w:t>归属学院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1</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080202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机械设计制造及其自动化</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机械类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1987年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机械学院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080203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材料成型及控制工程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080207</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车辆工程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2004年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080208</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汽车服务工程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2011年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5</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080205</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工业设计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tcPr>
          <w:p>
            <w:pPr>
              <w:snapToGrid w:val="0"/>
              <w:spacing w:line="240" w:lineRule="atLeast"/>
              <w:jc w:val="center"/>
              <w:rPr>
                <w:rFonts w:ascii="宋体" w:hAnsi="宋体" w:cs="仿宋_GB2312"/>
                <w:kern w:val="0"/>
              </w:rPr>
            </w:pPr>
            <w:r>
              <w:rPr>
                <w:rFonts w:hint="eastAsia" w:ascii="宋体" w:hAnsi="宋体" w:cs="仿宋_GB2312"/>
                <w:kern w:val="0"/>
              </w:rPr>
              <w:t>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 w:hRule="exac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6</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080502T</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能源与环境系统工程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能源动力类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2013年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tcPr>
          <w:p>
            <w:pPr>
              <w:widowControl/>
              <w:snapToGrid w:val="0"/>
              <w:spacing w:line="240" w:lineRule="atLeast"/>
              <w:jc w:val="center"/>
              <w:rPr>
                <w:rFonts w:ascii="宋体" w:hAnsi="宋体" w:cs="仿宋_GB2312"/>
                <w:kern w:val="0"/>
              </w:rPr>
            </w:pPr>
            <w:r>
              <w:rPr>
                <w:rFonts w:hint="eastAsia" w:ascii="宋体" w:hAnsi="宋体" w:cs="仿宋_GB2312"/>
                <w:kern w:val="0"/>
              </w:rPr>
              <w:t>机械学院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3</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7</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080801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自动化</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自动化类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1987年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电气学院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8</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080301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测控技术与仪器</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4</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9</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080601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电气工程及其自动化</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电气类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5</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10</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081004</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建筑电气与智能化</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土木类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2007年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081001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土木工程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snapToGrid w:val="0"/>
              <w:spacing w:line="240" w:lineRule="atLeast"/>
              <w:jc w:val="center"/>
              <w:rPr>
                <w:rFonts w:ascii="宋体" w:hAnsi="宋体" w:cs="仿宋_GB2312"/>
                <w:kern w:val="0"/>
              </w:rPr>
            </w:pPr>
            <w:r>
              <w:rPr>
                <w:rFonts w:hint="eastAsia" w:ascii="宋体" w:hAnsi="宋体" w:cs="仿宋_GB2312"/>
                <w:kern w:val="0"/>
              </w:rPr>
              <w:t>建工学院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12</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081003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给排水科学与工程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6</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082802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城乡规划</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建筑类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14</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082801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建筑学</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exact"/>
          <w:jc w:val="center"/>
        </w:trPr>
        <w:tc>
          <w:tcPr>
            <w:tcW w:w="525"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7</w:t>
            </w: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15</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081802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交通工程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交通运输类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2009年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2012年暂停招生</w:t>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8</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16</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080701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电子信息工程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电子信息类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信息学院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17</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080703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通信工程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9</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18</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080906</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数字媒体技术</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计算机类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2006年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19</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rPr>
              <w:t>080902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软件工程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2009年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20</w:t>
            </w:r>
          </w:p>
        </w:tc>
        <w:tc>
          <w:tcPr>
            <w:tcW w:w="752" w:type="dxa"/>
            <w:vAlign w:val="center"/>
          </w:tcPr>
          <w:p>
            <w:pPr>
              <w:widowControl/>
              <w:snapToGrid w:val="0"/>
              <w:spacing w:line="240" w:lineRule="atLeast"/>
              <w:jc w:val="center"/>
              <w:rPr>
                <w:rFonts w:ascii="宋体" w:hAnsi="宋体" w:cs="仿宋_GB2312"/>
              </w:rPr>
            </w:pPr>
            <w:r>
              <w:rPr>
                <w:rFonts w:hint="eastAsia" w:ascii="宋体" w:hAnsi="宋体" w:cs="仿宋_GB2312"/>
              </w:rPr>
              <w:t>080905</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物联网工程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080901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计算机科学与技术</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10</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22</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081301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化学工程与工艺</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化工与制药类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生化/轻工学院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081302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制药工程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2003年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11</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24</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082701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食品科学与工程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食品科学与工程类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12</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25</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083001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生物工程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生物工程类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2001年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13</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26</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080401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材料科学与工程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材料类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2004年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14</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27</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081702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包装工程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轻工类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2004年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28</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081701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轻化工程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29</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081703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印刷工程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2014年暂停招生</w:t>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15</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30</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081602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服装设计与工程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76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纺织类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2003年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p>
        </w:tc>
        <w:tc>
          <w:tcPr>
            <w:tcW w:w="758" w:type="dxa"/>
            <w:vMerge w:val="restart"/>
          </w:tcPr>
          <w:p>
            <w:pPr>
              <w:snapToGrid w:val="0"/>
              <w:spacing w:line="240" w:lineRule="atLeast"/>
              <w:jc w:val="center"/>
              <w:rPr>
                <w:rFonts w:ascii="宋体" w:hAnsi="宋体" w:cs="仿宋_GB2312"/>
                <w:kern w:val="0"/>
              </w:rPr>
            </w:pPr>
            <w:r>
              <w:rPr>
                <w:rFonts w:hint="eastAsia" w:ascii="宋体" w:hAnsi="宋体" w:cs="仿宋_GB2312"/>
                <w:kern w:val="0"/>
              </w:rPr>
              <w:t>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16</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130310</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动画</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戏剧与影视学类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2004年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32</w:t>
            </w:r>
          </w:p>
        </w:tc>
        <w:tc>
          <w:tcPr>
            <w:tcW w:w="752" w:type="dxa"/>
            <w:vAlign w:val="center"/>
          </w:tcPr>
          <w:p>
            <w:pPr>
              <w:widowControl/>
              <w:snapToGrid w:val="0"/>
              <w:spacing w:line="240" w:lineRule="atLeast"/>
              <w:jc w:val="center"/>
              <w:rPr>
                <w:rFonts w:ascii="宋体" w:hAnsi="宋体"/>
                <w:kern w:val="0"/>
              </w:rPr>
            </w:pPr>
            <w:r>
              <w:rPr>
                <w:rFonts w:hint="eastAsia" w:ascii="宋体" w:hAnsi="宋体"/>
                <w:kern w:val="0"/>
              </w:rPr>
              <w:t>130301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表演</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2017年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17</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130505</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服装与服饰设计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设计学类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34</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130502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视觉传达设计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35</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130503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环境设计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1992年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36</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130504</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产品设计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18</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37</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kern w:val="0"/>
              </w:rPr>
              <w:t>130404</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摄  影</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美术学类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艺术学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2016年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19</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38</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020401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国际经济与贸易</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经济与贸易类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经管学院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20</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39</w:t>
            </w:r>
          </w:p>
        </w:tc>
        <w:tc>
          <w:tcPr>
            <w:tcW w:w="752" w:type="dxa"/>
            <w:vAlign w:val="center"/>
          </w:tcPr>
          <w:p>
            <w:pPr>
              <w:snapToGrid w:val="0"/>
              <w:spacing w:line="240" w:lineRule="atLeast"/>
              <w:jc w:val="center"/>
              <w:rPr>
                <w:rFonts w:ascii="宋体" w:hAnsi="宋体" w:cs="仿宋_GB2312"/>
              </w:rPr>
            </w:pPr>
            <w:r>
              <w:rPr>
                <w:rFonts w:hint="eastAsia" w:ascii="宋体" w:hAnsi="宋体" w:cs="仿宋_GB2312"/>
                <w:kern w:val="0"/>
              </w:rPr>
              <w:t>020302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金融工程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金融学类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2013年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21</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40</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rPr>
              <w:t>020101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经济学类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经济学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2008年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22</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120102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信息管理与信息系统</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管理科学与工程类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2001年</w:t>
            </w:r>
          </w:p>
        </w:tc>
        <w:tc>
          <w:tcPr>
            <w:tcW w:w="994" w:type="dxa"/>
            <w:vAlign w:val="center"/>
          </w:tcPr>
          <w:p>
            <w:pPr>
              <w:widowControl/>
              <w:snapToGrid w:val="0"/>
              <w:spacing w:line="240" w:lineRule="atLeast"/>
              <w:jc w:val="center"/>
              <w:rPr>
                <w:rFonts w:ascii="宋体" w:hAnsi="宋体" w:cs="仿宋_GB2312"/>
                <w:kern w:val="0"/>
              </w:rPr>
            </w:pP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525" w:type="dxa"/>
            <w:vMerge w:val="continue"/>
            <w:vAlign w:val="center"/>
          </w:tcPr>
          <w:p>
            <w:pPr>
              <w:widowControl/>
              <w:snapToGrid w:val="0"/>
              <w:spacing w:line="240" w:lineRule="atLeast"/>
              <w:jc w:val="center"/>
              <w:rPr>
                <w:rFonts w:ascii="宋体" w:hAnsi="宋体" w:cs="仿宋_GB2312"/>
                <w:kern w:val="0"/>
              </w:rPr>
            </w:pP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42</w:t>
            </w:r>
          </w:p>
        </w:tc>
        <w:tc>
          <w:tcPr>
            <w:tcW w:w="752"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120105</w:t>
            </w:r>
          </w:p>
        </w:tc>
        <w:tc>
          <w:tcPr>
            <w:tcW w:w="182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工程造价</w:t>
            </w:r>
          </w:p>
        </w:tc>
        <w:tc>
          <w:tcPr>
            <w:tcW w:w="787"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tcPr>
          <w:p>
            <w:pPr>
              <w:widowControl/>
              <w:snapToGrid w:val="0"/>
              <w:spacing w:line="240" w:lineRule="atLeast"/>
              <w:jc w:val="center"/>
              <w:rPr>
                <w:rFonts w:ascii="宋体" w:hAnsi="宋体" w:cs="仿宋_GB2312"/>
                <w:kern w:val="0"/>
              </w:rPr>
            </w:pPr>
            <w:r>
              <w:rPr>
                <w:rFonts w:hint="eastAsia" w:ascii="宋体" w:hAnsi="宋体" w:cs="仿宋_GB2312"/>
                <w:kern w:val="0"/>
              </w:rPr>
              <w:t>建工学院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23</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120202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市场营销</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工商管理类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2006年</w:t>
            </w:r>
          </w:p>
        </w:tc>
        <w:tc>
          <w:tcPr>
            <w:tcW w:w="994" w:type="dxa"/>
            <w:vAlign w:val="center"/>
          </w:tcPr>
          <w:p>
            <w:pPr>
              <w:widowControl/>
              <w:snapToGrid w:val="0"/>
              <w:spacing w:line="240" w:lineRule="atLeast"/>
              <w:jc w:val="center"/>
              <w:rPr>
                <w:rFonts w:ascii="宋体" w:hAnsi="宋体" w:cs="仿宋_GB2312"/>
                <w:kern w:val="0"/>
              </w:rPr>
            </w:pP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经管学院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44</w:t>
            </w:r>
          </w:p>
        </w:tc>
        <w:tc>
          <w:tcPr>
            <w:tcW w:w="752" w:type="dxa"/>
            <w:vAlign w:val="center"/>
          </w:tcPr>
          <w:p>
            <w:pPr>
              <w:snapToGrid w:val="0"/>
              <w:spacing w:line="240" w:lineRule="atLeast"/>
              <w:jc w:val="center"/>
              <w:rPr>
                <w:rFonts w:ascii="宋体" w:hAnsi="宋体" w:cs="仿宋_GB2312"/>
              </w:rPr>
            </w:pPr>
            <w:r>
              <w:rPr>
                <w:rFonts w:hint="eastAsia" w:ascii="宋体" w:hAnsi="宋体" w:cs="仿宋_GB2312"/>
              </w:rPr>
              <w:t>120204</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财务管理</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Merge w:val="continue"/>
            <w:vAlign w:val="center"/>
          </w:tcPr>
          <w:p>
            <w:pPr>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2009年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25" w:type="dxa"/>
            <w:vMerge w:val="continue"/>
            <w:vAlign w:val="center"/>
          </w:tcPr>
          <w:p>
            <w:pPr>
              <w:widowControl/>
              <w:snapToGrid w:val="0"/>
              <w:spacing w:line="240" w:lineRule="atLeast"/>
              <w:jc w:val="center"/>
              <w:rPr>
                <w:rFonts w:ascii="宋体" w:hAnsi="宋体" w:cs="仿宋_GB2312"/>
                <w:kern w:val="0"/>
              </w:rPr>
            </w:pP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45</w:t>
            </w:r>
          </w:p>
        </w:tc>
        <w:tc>
          <w:tcPr>
            <w:tcW w:w="752"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120205</w:t>
            </w:r>
          </w:p>
        </w:tc>
        <w:tc>
          <w:tcPr>
            <w:tcW w:w="182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国际商务</w:t>
            </w:r>
          </w:p>
        </w:tc>
        <w:tc>
          <w:tcPr>
            <w:tcW w:w="787"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exact"/>
          <w:jc w:val="center"/>
        </w:trPr>
        <w:tc>
          <w:tcPr>
            <w:tcW w:w="525" w:type="dxa"/>
            <w:vMerge w:val="restart"/>
            <w:vAlign w:val="center"/>
          </w:tcPr>
          <w:p>
            <w:pPr>
              <w:snapToGrid w:val="0"/>
              <w:spacing w:line="240" w:lineRule="atLeast"/>
              <w:jc w:val="center"/>
              <w:rPr>
                <w:rFonts w:ascii="宋体" w:hAnsi="宋体" w:cs="仿宋_GB2312"/>
              </w:rPr>
            </w:pPr>
            <w:r>
              <w:rPr>
                <w:rFonts w:hint="eastAsia" w:ascii="宋体" w:hAnsi="宋体" w:cs="仿宋_GB2312"/>
              </w:rPr>
              <w:t>24</w:t>
            </w: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46</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120602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物流工程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Merge w:val="restart"/>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物流管理与工程类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2005年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2015年停招</w:t>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jc w:val="center"/>
        </w:trPr>
        <w:tc>
          <w:tcPr>
            <w:tcW w:w="525" w:type="dxa"/>
            <w:vMerge w:val="continue"/>
            <w:vAlign w:val="center"/>
          </w:tcPr>
          <w:p>
            <w:pPr>
              <w:widowControl/>
              <w:snapToGrid w:val="0"/>
              <w:spacing w:line="240" w:lineRule="atLeast"/>
              <w:jc w:val="center"/>
              <w:rPr>
                <w:rFonts w:ascii="宋体" w:hAnsi="宋体" w:cs="仿宋_GB2312"/>
                <w:kern w:val="0"/>
              </w:rPr>
            </w:pP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47</w:t>
            </w:r>
          </w:p>
        </w:tc>
        <w:tc>
          <w:tcPr>
            <w:tcW w:w="752"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120601</w:t>
            </w:r>
          </w:p>
        </w:tc>
        <w:tc>
          <w:tcPr>
            <w:tcW w:w="182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物流管理</w:t>
            </w:r>
          </w:p>
        </w:tc>
        <w:tc>
          <w:tcPr>
            <w:tcW w:w="787"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2015年</w:t>
            </w:r>
          </w:p>
        </w:tc>
        <w:tc>
          <w:tcPr>
            <w:tcW w:w="994" w:type="dxa"/>
            <w:vAlign w:val="center"/>
          </w:tcPr>
          <w:p>
            <w:pPr>
              <w:widowControl/>
              <w:snapToGrid w:val="0"/>
              <w:spacing w:line="240" w:lineRule="atLeast"/>
              <w:jc w:val="center"/>
              <w:rPr>
                <w:rFonts w:ascii="宋体" w:hAnsi="宋体" w:cs="仿宋_GB2312"/>
                <w:kern w:val="0"/>
              </w:rPr>
            </w:pP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25</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48</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120701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工业工程</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工业工程类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26</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49</w:t>
            </w:r>
          </w:p>
        </w:tc>
        <w:tc>
          <w:tcPr>
            <w:tcW w:w="752" w:type="dxa"/>
            <w:vAlign w:val="center"/>
          </w:tcPr>
          <w:p>
            <w:pPr>
              <w:widowControl/>
              <w:rPr>
                <w:rFonts w:ascii="宋体" w:hAnsi="宋体" w:cs="仿宋_GB2312"/>
                <w:kern w:val="0"/>
              </w:rPr>
            </w:pPr>
            <w:r>
              <w:rPr>
                <w:rFonts w:hint="eastAsia" w:ascii="宋体" w:hAnsi="宋体" w:cs="仿宋_GB2312"/>
                <w:kern w:val="0"/>
              </w:rPr>
              <w:t>120401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公共事业管理</w:t>
            </w:r>
          </w:p>
        </w:tc>
        <w:tc>
          <w:tcPr>
            <w:tcW w:w="787"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公共管理类</w:t>
            </w:r>
          </w:p>
        </w:tc>
        <w:tc>
          <w:tcPr>
            <w:tcW w:w="706"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2016</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27</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50</w:t>
            </w:r>
          </w:p>
        </w:tc>
        <w:tc>
          <w:tcPr>
            <w:tcW w:w="752" w:type="dxa"/>
            <w:vAlign w:val="center"/>
          </w:tcPr>
          <w:p>
            <w:pPr>
              <w:widowControl/>
              <w:rPr>
                <w:rFonts w:ascii="宋体" w:hAnsi="宋体" w:cs="仿宋_GB2312"/>
                <w:kern w:val="0"/>
              </w:rPr>
            </w:pPr>
            <w:r>
              <w:rPr>
                <w:rFonts w:hint="eastAsia" w:ascii="宋体" w:hAnsi="宋体" w:cs="仿宋_GB2312"/>
                <w:kern w:val="0"/>
              </w:rPr>
              <w:t>120801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电子商务</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电子商务类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管理学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2016</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exact"/>
          <w:jc w:val="center"/>
        </w:trPr>
        <w:tc>
          <w:tcPr>
            <w:tcW w:w="525"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28</w:t>
            </w:r>
          </w:p>
        </w:tc>
        <w:tc>
          <w:tcPr>
            <w:tcW w:w="56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51</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050101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汉语言文学</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中国语言文学类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w:t>
            </w:r>
          </w:p>
          <w:p>
            <w:pPr>
              <w:widowControl/>
              <w:snapToGrid w:val="0"/>
              <w:spacing w:line="240" w:lineRule="atLeast"/>
              <w:jc w:val="center"/>
              <w:rPr>
                <w:rFonts w:ascii="宋体" w:hAnsi="宋体" w:cs="仿宋_GB2312"/>
                <w:kern w:val="0"/>
              </w:rPr>
            </w:pPr>
            <w:r>
              <w:rPr>
                <w:rFonts w:hint="eastAsia" w:ascii="宋体" w:hAnsi="宋体" w:cs="仿宋_GB2312"/>
                <w:kern w:val="0"/>
              </w:rPr>
              <w:t>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2006年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9E"/>
            </w:r>
            <w:r>
              <w:rPr>
                <w:rFonts w:hint="eastAsia" w:ascii="宋体" w:hAnsi="宋体" w:cs="仿宋_GB2312"/>
                <w:kern w:val="0"/>
              </w:rPr>
              <w:sym w:font="Wingdings 2" w:char="F0A4"/>
            </w:r>
          </w:p>
        </w:tc>
        <w:tc>
          <w:tcPr>
            <w:tcW w:w="758" w:type="dxa"/>
          </w:tcPr>
          <w:p>
            <w:pPr>
              <w:widowControl/>
              <w:snapToGrid w:val="0"/>
              <w:spacing w:line="240" w:lineRule="atLeast"/>
              <w:jc w:val="center"/>
              <w:rPr>
                <w:rFonts w:ascii="宋体" w:hAnsi="宋体" w:cs="仿宋_GB2312"/>
                <w:kern w:val="0"/>
              </w:rPr>
            </w:pPr>
            <w:r>
              <w:rPr>
                <w:rFonts w:hint="eastAsia" w:ascii="宋体" w:hAnsi="宋体" w:cs="仿宋_GB2312"/>
                <w:kern w:val="0"/>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525" w:type="dxa"/>
            <w:vMerge w:val="restart"/>
            <w:vAlign w:val="center"/>
          </w:tcPr>
          <w:p>
            <w:pPr>
              <w:snapToGrid w:val="0"/>
              <w:spacing w:line="240" w:lineRule="atLeast"/>
              <w:jc w:val="center"/>
              <w:rPr>
                <w:rFonts w:ascii="宋体" w:hAnsi="宋体" w:cs="仿宋_GB2312"/>
                <w:kern w:val="0"/>
              </w:rPr>
            </w:pPr>
            <w:r>
              <w:rPr>
                <w:rFonts w:hint="eastAsia" w:ascii="宋体" w:hAnsi="宋体" w:cs="仿宋_GB2312"/>
                <w:kern w:val="0"/>
              </w:rPr>
              <w:t>29</w:t>
            </w:r>
          </w:p>
        </w:tc>
        <w:tc>
          <w:tcPr>
            <w:tcW w:w="567" w:type="dxa"/>
            <w:vAlign w:val="center"/>
          </w:tcPr>
          <w:p>
            <w:pPr>
              <w:snapToGrid w:val="0"/>
              <w:spacing w:line="240" w:lineRule="atLeast"/>
              <w:jc w:val="center"/>
              <w:rPr>
                <w:rFonts w:ascii="宋体" w:hAnsi="宋体" w:cs="仿宋_GB2312"/>
                <w:kern w:val="0"/>
              </w:rPr>
            </w:pPr>
            <w:r>
              <w:rPr>
                <w:rFonts w:hint="eastAsia" w:ascii="宋体" w:hAnsi="宋体" w:cs="仿宋_GB2312"/>
                <w:kern w:val="0"/>
              </w:rPr>
              <w:t>52</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050201</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英语</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  学</w:t>
            </w:r>
          </w:p>
        </w:tc>
        <w:tc>
          <w:tcPr>
            <w:tcW w:w="760" w:type="dxa"/>
            <w:vMerge w:val="restart"/>
            <w:vAlign w:val="center"/>
          </w:tcPr>
          <w:p>
            <w:pPr>
              <w:widowControl/>
              <w:snapToGrid w:val="0"/>
              <w:spacing w:line="240" w:lineRule="atLeast"/>
              <w:jc w:val="center"/>
              <w:rPr>
                <w:rFonts w:ascii="宋体" w:hAnsi="宋体" w:cs="仿宋_GB2312"/>
                <w:kern w:val="0"/>
              </w:rPr>
            </w:pPr>
            <w:r>
              <w:rPr>
                <w:rFonts w:ascii="宋体" w:hAnsi="宋体" w:cs="仿宋_GB2312"/>
                <w:kern w:val="0"/>
              </w:rPr>
              <w:t>外国语言文学类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2002年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外语/中德学院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525" w:type="dxa"/>
            <w:vMerge w:val="continue"/>
            <w:vAlign w:val="center"/>
          </w:tcPr>
          <w:p>
            <w:pPr>
              <w:snapToGrid w:val="0"/>
              <w:spacing w:line="240" w:lineRule="atLeast"/>
              <w:jc w:val="center"/>
              <w:rPr>
                <w:rFonts w:ascii="宋体" w:hAnsi="宋体" w:cs="仿宋_GB2312"/>
              </w:rPr>
            </w:pP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53</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050203</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德语</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  学</w:t>
            </w:r>
          </w:p>
        </w:tc>
        <w:tc>
          <w:tcPr>
            <w:tcW w:w="760" w:type="dxa"/>
            <w:vMerge w:val="continue"/>
            <w:vAlign w:val="center"/>
          </w:tcPr>
          <w:p>
            <w:pPr>
              <w:widowControl/>
              <w:snapToGrid w:val="0"/>
              <w:spacing w:line="240" w:lineRule="atLeast"/>
              <w:jc w:val="center"/>
              <w:rPr>
                <w:rFonts w:ascii="宋体" w:hAnsi="宋体" w:cs="仿宋_GB2312"/>
                <w:kern w:val="0"/>
              </w:rPr>
            </w:pP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文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2000年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30</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54</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070102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信息与计算科学</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理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数学类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理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2003年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w:t>
            </w:r>
            <w:r>
              <w:rPr>
                <w:rFonts w:hint="eastAsia" w:ascii="宋体" w:hAnsi="宋体" w:cs="仿宋_GB2312"/>
                <w:kern w:val="0"/>
              </w:rPr>
              <w:sym w:font="Wingdings 2" w:char="F0A4"/>
            </w:r>
          </w:p>
        </w:tc>
        <w:tc>
          <w:tcPr>
            <w:tcW w:w="758" w:type="dxa"/>
            <w:vMerge w:val="restart"/>
          </w:tcPr>
          <w:p>
            <w:pPr>
              <w:widowControl/>
              <w:snapToGrid w:val="0"/>
              <w:spacing w:line="240" w:lineRule="atLeast"/>
              <w:jc w:val="center"/>
              <w:rPr>
                <w:rFonts w:ascii="宋体" w:hAnsi="宋体" w:cs="仿宋_GB2312"/>
                <w:kern w:val="0"/>
              </w:rPr>
            </w:pPr>
            <w:r>
              <w:rPr>
                <w:rFonts w:hint="eastAsia" w:ascii="宋体" w:hAnsi="宋体" w:cs="仿宋_GB2312"/>
                <w:kern w:val="0"/>
              </w:rPr>
              <w:t>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exact"/>
          <w:jc w:val="center"/>
        </w:trPr>
        <w:tc>
          <w:tcPr>
            <w:tcW w:w="525" w:type="dxa"/>
            <w:vAlign w:val="center"/>
          </w:tcPr>
          <w:p>
            <w:pPr>
              <w:snapToGrid w:val="0"/>
              <w:spacing w:line="240" w:lineRule="atLeast"/>
              <w:jc w:val="center"/>
              <w:rPr>
                <w:rFonts w:ascii="宋体" w:hAnsi="宋体" w:cs="仿宋_GB2312"/>
              </w:rPr>
            </w:pPr>
            <w:r>
              <w:rPr>
                <w:rFonts w:hint="eastAsia" w:ascii="宋体" w:hAnsi="宋体" w:cs="仿宋_GB2312"/>
              </w:rPr>
              <w:t>31</w:t>
            </w:r>
          </w:p>
        </w:tc>
        <w:tc>
          <w:tcPr>
            <w:tcW w:w="567" w:type="dxa"/>
            <w:vAlign w:val="center"/>
          </w:tcPr>
          <w:p>
            <w:pPr>
              <w:snapToGrid w:val="0"/>
              <w:spacing w:line="240" w:lineRule="atLeast"/>
              <w:jc w:val="center"/>
              <w:rPr>
                <w:rFonts w:ascii="宋体" w:hAnsi="宋体" w:cs="仿宋_GB2312"/>
              </w:rPr>
            </w:pPr>
            <w:r>
              <w:rPr>
                <w:rFonts w:hint="eastAsia" w:ascii="宋体" w:hAnsi="宋体" w:cs="仿宋_GB2312"/>
              </w:rPr>
              <w:t>55</w:t>
            </w:r>
          </w:p>
        </w:tc>
        <w:tc>
          <w:tcPr>
            <w:tcW w:w="752"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070202</w:t>
            </w:r>
          </w:p>
        </w:tc>
        <w:tc>
          <w:tcPr>
            <w:tcW w:w="1820"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应用物理学</w:t>
            </w:r>
          </w:p>
        </w:tc>
        <w:tc>
          <w:tcPr>
            <w:tcW w:w="787"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理  学</w:t>
            </w:r>
          </w:p>
        </w:tc>
        <w:tc>
          <w:tcPr>
            <w:tcW w:w="760" w:type="dxa"/>
            <w:vAlign w:val="center"/>
          </w:tcPr>
          <w:p>
            <w:pPr>
              <w:widowControl/>
              <w:snapToGrid w:val="0"/>
              <w:spacing w:line="240" w:lineRule="atLeast"/>
              <w:jc w:val="center"/>
              <w:rPr>
                <w:rFonts w:ascii="宋体" w:hAnsi="宋体" w:cs="仿宋_GB2312"/>
                <w:kern w:val="0"/>
              </w:rPr>
            </w:pPr>
            <w:r>
              <w:rPr>
                <w:rFonts w:ascii="宋体" w:hAnsi="宋体" w:cs="仿宋_GB2312"/>
                <w:kern w:val="0"/>
              </w:rPr>
              <w:t>物理学类</w:t>
            </w:r>
          </w:p>
        </w:tc>
        <w:tc>
          <w:tcPr>
            <w:tcW w:w="706"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理  学</w:t>
            </w:r>
          </w:p>
        </w:tc>
        <w:tc>
          <w:tcPr>
            <w:tcW w:w="853"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t>2004年</w:t>
            </w:r>
          </w:p>
        </w:tc>
        <w:tc>
          <w:tcPr>
            <w:tcW w:w="994" w:type="dxa"/>
            <w:vAlign w:val="center"/>
          </w:tcPr>
          <w:p>
            <w:pPr>
              <w:widowControl/>
              <w:snapToGrid w:val="0"/>
              <w:spacing w:line="240" w:lineRule="atLeast"/>
              <w:jc w:val="center"/>
              <w:rPr>
                <w:rFonts w:ascii="宋体" w:hAnsi="宋体" w:cs="仿宋_GB2312"/>
                <w:kern w:val="0"/>
              </w:rPr>
            </w:pPr>
            <w:r>
              <w:rPr>
                <w:rFonts w:hint="eastAsia" w:ascii="宋体" w:hAnsi="宋体" w:cs="仿宋_GB2312"/>
                <w:kern w:val="0"/>
              </w:rPr>
              <w:sym w:font="Wingdings 2" w:char="F0A4"/>
            </w:r>
          </w:p>
        </w:tc>
        <w:tc>
          <w:tcPr>
            <w:tcW w:w="758" w:type="dxa"/>
            <w:vMerge w:val="continue"/>
          </w:tcPr>
          <w:p>
            <w:pPr>
              <w:widowControl/>
              <w:snapToGrid w:val="0"/>
              <w:spacing w:line="240" w:lineRule="atLeast"/>
              <w:jc w:val="center"/>
              <w:rPr>
                <w:rFonts w:ascii="宋体" w:hAnsi="宋体" w:cs="仿宋_GB2312"/>
                <w:kern w:val="0"/>
              </w:rPr>
            </w:pPr>
          </w:p>
        </w:tc>
      </w:tr>
    </w:tbl>
    <w:p>
      <w:pPr>
        <w:snapToGrid w:val="0"/>
        <w:jc w:val="left"/>
        <w:rPr>
          <w:rFonts w:asciiTheme="minorEastAsia" w:hAnsiTheme="minorEastAsia"/>
        </w:rPr>
      </w:pPr>
      <w:r>
        <w:rPr>
          <w:rFonts w:hint="eastAsia" w:ascii="宋体" w:hAnsi="宋体" w:cs="仿宋_GB2312"/>
          <w:b/>
        </w:rPr>
        <w:t xml:space="preserve">    注：</w:t>
      </w:r>
      <w:r>
        <w:rPr>
          <w:rFonts w:hint="eastAsia" w:ascii="宋体" w:hAnsi="宋体" w:cs="仿宋_GB2312"/>
        </w:rPr>
        <w:t>统计截至2017年。★</w:t>
      </w:r>
      <w:r>
        <w:rPr>
          <w:rFonts w:hint="eastAsia" w:ascii="宋体" w:hAnsi="宋体" w:cs="仿宋_GB2312"/>
          <w:kern w:val="0"/>
        </w:rPr>
        <w:t>国家级特色专业；</w:t>
      </w:r>
      <w:r>
        <w:rPr>
          <w:rFonts w:hint="eastAsia" w:ascii="宋体" w:hAnsi="宋体" w:cs="仿宋_GB2312"/>
        </w:rPr>
        <w:t>☆</w:t>
      </w:r>
      <w:r>
        <w:rPr>
          <w:rFonts w:hint="eastAsia" w:ascii="宋体" w:hAnsi="宋体" w:cs="仿宋_GB2312"/>
          <w:kern w:val="0"/>
        </w:rPr>
        <w:t>卓越计划试点专业；</w:t>
      </w:r>
      <w:r>
        <w:rPr>
          <w:rFonts w:hint="eastAsia" w:ascii="宋体" w:hAnsi="宋体" w:cs="仿宋_GB2312"/>
        </w:rPr>
        <w:t>△</w:t>
      </w:r>
      <w:r>
        <w:rPr>
          <w:rFonts w:hint="eastAsia" w:ascii="宋体" w:hAnsi="宋体" w:cs="仿宋_GB2312"/>
          <w:kern w:val="0"/>
        </w:rPr>
        <w:t>浙江省十二五优势专业；</w:t>
      </w:r>
      <w:r>
        <w:rPr>
          <w:rFonts w:hint="eastAsia" w:ascii="宋体" w:hAnsi="宋体" w:cs="仿宋_GB2312"/>
        </w:rPr>
        <w:t>▲</w:t>
      </w:r>
      <w:r>
        <w:rPr>
          <w:rFonts w:hint="eastAsia" w:ascii="宋体" w:hAnsi="宋体" w:cs="仿宋_GB2312"/>
          <w:kern w:val="0"/>
        </w:rPr>
        <w:t>浙江省十二五新兴特色专业；●浙江省十二五国际化专业；</w:t>
      </w:r>
      <w:r>
        <w:rPr>
          <w:rFonts w:hint="eastAsia" w:ascii="宋体" w:hAnsi="宋体" w:cs="仿宋_GB2312"/>
        </w:rPr>
        <w:t>□</w:t>
      </w:r>
      <w:r>
        <w:rPr>
          <w:rFonts w:hint="eastAsia" w:ascii="宋体" w:hAnsi="宋体" w:cs="仿宋_GB2312"/>
          <w:kern w:val="0"/>
        </w:rPr>
        <w:t>浙江省级重点建设专业；◎浙江省十三五优势专业；◆浙江省十三五特色专业；</w:t>
      </w:r>
      <w:r>
        <w:rPr>
          <w:rFonts w:hint="eastAsia" w:ascii="宋体" w:hAnsi="宋体" w:cs="仿宋_GB2312"/>
          <w:kern w:val="0"/>
        </w:rPr>
        <w:sym w:font="Wingdings 2" w:char="F09E"/>
      </w:r>
      <w:r>
        <w:rPr>
          <w:rFonts w:hint="eastAsia" w:ascii="宋体" w:hAnsi="宋体" w:cs="仿宋_GB2312"/>
          <w:kern w:val="0"/>
        </w:rPr>
        <w:t>校级优势特色专业；</w:t>
      </w:r>
      <w:r>
        <w:rPr>
          <w:rFonts w:hint="eastAsia" w:ascii="宋体" w:hAnsi="宋体" w:cs="仿宋_GB2312"/>
          <w:kern w:val="0"/>
        </w:rPr>
        <w:sym w:font="Wingdings 2" w:char="F0A4"/>
      </w:r>
      <w:r>
        <w:rPr>
          <w:rFonts w:hint="eastAsia" w:ascii="宋体" w:hAnsi="宋体" w:cs="仿宋_GB2312"/>
          <w:kern w:val="0"/>
        </w:rPr>
        <w:t>专业规划中八大专业群内专业。</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10.我校现有多少个硕士学位授权点？</w:t>
      </w:r>
    </w:p>
    <w:p>
      <w:pPr>
        <w:spacing w:before="163" w:beforeLines="50" w:after="163" w:afterLines="50" w:line="400" w:lineRule="exact"/>
        <w:ind w:firstLine="720" w:firstLineChars="300"/>
        <w:rPr>
          <w:rFonts w:asciiTheme="minorEastAsia" w:hAnsiTheme="minorEastAsia"/>
          <w:b/>
          <w:sz w:val="28"/>
          <w:szCs w:val="28"/>
          <w:highlight w:val="red"/>
        </w:rPr>
      </w:pPr>
      <w:r>
        <w:rPr>
          <w:rFonts w:hint="eastAsia" w:ascii="宋体" w:hAnsi="宋体" w:cs="宋体"/>
          <w:bCs/>
          <w:kern w:val="0"/>
        </w:rPr>
        <w:t>学校拥有3个硕士学位授权一级学科、20个硕士学位授权二级学科、2个硕士专业学位授权点。</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11．我校重点建设专业有哪些？</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现有国家级特色专业建设点3个，省级“十二五”优势专业4个，省级“十二五”新兴特色（国际化）专业10个，省级“十三五”优势专业2个，省级“十三五”特色专业6个，省级重点建设专业9个。</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12．我校专业结构与布局情况如何？</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学校专业从属于6个学科门类，</w:t>
      </w:r>
      <w:r>
        <w:rPr>
          <w:rFonts w:hint="eastAsia" w:ascii="宋体" w:hAnsi="宋体"/>
          <w:kern w:val="0"/>
        </w:rPr>
        <w:t>从专业总体结构来看，学校专业以工学为主体，艺术学、管理学及经济学专业有较好的发展势头，有适当的理学及文学专业对工学、艺术学、管理学类专业形成支撑作用，专业结构与布局基本合理，与浙江地方经济发展和产业对人才需求适应较好。同时省级及以上的专业建设平台也集中在工学、艺术学及管理学三个门类中。</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13．我校师资队伍状况如何？</w:t>
      </w:r>
    </w:p>
    <w:p>
      <w:pPr>
        <w:adjustRightInd w:val="0"/>
        <w:snapToGrid w:val="0"/>
        <w:spacing w:line="360" w:lineRule="auto"/>
        <w:ind w:firstLine="560"/>
        <w:rPr>
          <w:rFonts w:ascii="宋体" w:hAnsi="宋体" w:cs="宋体"/>
          <w:bCs/>
          <w:kern w:val="0"/>
        </w:rPr>
      </w:pPr>
      <w:r>
        <w:rPr>
          <w:rFonts w:hint="eastAsia" w:ascii="宋体" w:hAnsi="宋体" w:cs="宋体"/>
          <w:bCs/>
          <w:kern w:val="0"/>
        </w:rPr>
        <w:t>学校拥有一支具有国际化视野、学术水平高、师德师风高尚、梯队结构合理的优秀人才队伍。现有教职工1320余名，专任教师近1000名，其中高级职称470余名，具有3个月以上海外学术经历教师比例超过30%，具有博士学位教师比例近38%，具有6个月以上企业实践经历教师比例约占40%；享受国务院特殊津贴5人，全国优秀教师1人，全国教育系统职业道德建设标兵1人，“国家千人计划”2人，教育部“新世纪优秀人才支持计划”入选者1人，教育部高校教学指导委员会委员2人，“省千人计划”2人，“钱江学者”特聘教授1人，省突出贡献中青年专家2人，省“151人才工程”培养人员84人，省高校中青年学科带头人38人，省优秀教师6人，省高校优秀教师4人，省高校教学名师6人，省级教学团队3个。</w:t>
      </w:r>
    </w:p>
    <w:p>
      <w:pPr>
        <w:spacing w:before="163" w:beforeLines="50" w:after="163" w:afterLines="50" w:line="400" w:lineRule="exact"/>
        <w:ind w:firstLine="562" w:firstLineChars="200"/>
        <w:rPr>
          <w:rFonts w:ascii="宋体" w:hAnsi="宋体" w:cs="宋体"/>
          <w:kern w:val="0"/>
          <w:szCs w:val="21"/>
        </w:rPr>
      </w:pPr>
      <w:r>
        <w:rPr>
          <w:rFonts w:hint="eastAsia" w:asciiTheme="minorEastAsia" w:hAnsiTheme="minorEastAsia"/>
          <w:b/>
          <w:sz w:val="28"/>
          <w:szCs w:val="28"/>
        </w:rPr>
        <w:t>14．我校教师年龄、学历、职称结构如何？</w:t>
      </w:r>
    </w:p>
    <w:tbl>
      <w:tblPr>
        <w:tblStyle w:val="20"/>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47"/>
        <w:gridCol w:w="820"/>
        <w:gridCol w:w="930"/>
        <w:gridCol w:w="820"/>
        <w:gridCol w:w="930"/>
        <w:gridCol w:w="820"/>
        <w:gridCol w:w="930"/>
        <w:gridCol w:w="80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snapToGrid w:val="0"/>
              <w:spacing w:line="360" w:lineRule="auto"/>
              <w:rPr>
                <w:rFonts w:ascii="宋体" w:hAnsi="宋体"/>
                <w:kern w:val="0"/>
                <w:szCs w:val="21"/>
              </w:rPr>
            </w:pPr>
            <w:r>
              <w:rPr>
                <w:rFonts w:hint="eastAsia" w:ascii="宋体" w:hAnsi="宋体" w:cs="仿宋_GB2312"/>
                <w:kern w:val="0"/>
                <w:szCs w:val="21"/>
              </w:rPr>
              <w:t>年龄</w:t>
            </w:r>
          </w:p>
        </w:tc>
        <w:tc>
          <w:tcPr>
            <w:tcW w:w="947" w:type="dxa"/>
            <w:vMerge w:val="restart"/>
            <w:vAlign w:val="center"/>
          </w:tcPr>
          <w:p>
            <w:pPr>
              <w:autoSpaceDE w:val="0"/>
              <w:autoSpaceDN w:val="0"/>
              <w:adjustRightInd w:val="0"/>
              <w:snapToGrid w:val="0"/>
              <w:spacing w:line="360" w:lineRule="auto"/>
              <w:jc w:val="center"/>
              <w:rPr>
                <w:rFonts w:ascii="宋体" w:hAnsi="宋体"/>
                <w:kern w:val="0"/>
                <w:szCs w:val="21"/>
              </w:rPr>
            </w:pPr>
            <w:r>
              <w:rPr>
                <w:rFonts w:hint="eastAsia" w:ascii="宋体" w:hAnsi="宋体" w:cs="仿宋_GB2312"/>
                <w:kern w:val="0"/>
                <w:szCs w:val="21"/>
              </w:rPr>
              <w:t>总人数</w:t>
            </w:r>
          </w:p>
        </w:tc>
        <w:tc>
          <w:tcPr>
            <w:tcW w:w="1750" w:type="dxa"/>
            <w:gridSpan w:val="2"/>
            <w:vAlign w:val="center"/>
          </w:tcPr>
          <w:p>
            <w:pPr>
              <w:autoSpaceDE w:val="0"/>
              <w:autoSpaceDN w:val="0"/>
              <w:adjustRightInd w:val="0"/>
              <w:snapToGrid w:val="0"/>
              <w:spacing w:line="360" w:lineRule="auto"/>
              <w:jc w:val="center"/>
              <w:rPr>
                <w:rFonts w:ascii="宋体" w:hAnsi="宋体"/>
                <w:kern w:val="0"/>
                <w:szCs w:val="21"/>
              </w:rPr>
            </w:pPr>
            <w:r>
              <w:rPr>
                <w:rFonts w:ascii="宋体" w:hAnsi="宋体"/>
                <w:b/>
                <w:bCs/>
                <w:kern w:val="0"/>
                <w:szCs w:val="21"/>
              </w:rPr>
              <w:t>35</w:t>
            </w:r>
            <w:r>
              <w:rPr>
                <w:rFonts w:hint="eastAsia" w:ascii="宋体" w:hAnsi="宋体" w:cs="仿宋_GB2312"/>
                <w:kern w:val="0"/>
                <w:szCs w:val="21"/>
              </w:rPr>
              <w:t>岁及以下</w:t>
            </w:r>
          </w:p>
        </w:tc>
        <w:tc>
          <w:tcPr>
            <w:tcW w:w="1750" w:type="dxa"/>
            <w:gridSpan w:val="2"/>
            <w:vAlign w:val="center"/>
          </w:tcPr>
          <w:p>
            <w:pPr>
              <w:autoSpaceDE w:val="0"/>
              <w:autoSpaceDN w:val="0"/>
              <w:adjustRightInd w:val="0"/>
              <w:snapToGrid w:val="0"/>
              <w:spacing w:line="360" w:lineRule="auto"/>
              <w:jc w:val="center"/>
              <w:rPr>
                <w:rFonts w:ascii="宋体" w:hAnsi="宋体"/>
                <w:kern w:val="0"/>
                <w:szCs w:val="21"/>
              </w:rPr>
            </w:pPr>
            <w:r>
              <w:rPr>
                <w:rFonts w:ascii="宋体" w:hAnsi="宋体"/>
                <w:b/>
                <w:bCs/>
                <w:kern w:val="0"/>
                <w:szCs w:val="21"/>
              </w:rPr>
              <w:t>36-45</w:t>
            </w:r>
            <w:r>
              <w:rPr>
                <w:rFonts w:hint="eastAsia" w:ascii="宋体" w:hAnsi="宋体" w:cs="仿宋_GB2312"/>
                <w:kern w:val="0"/>
                <w:szCs w:val="21"/>
              </w:rPr>
              <w:t>岁</w:t>
            </w:r>
          </w:p>
        </w:tc>
        <w:tc>
          <w:tcPr>
            <w:tcW w:w="1750" w:type="dxa"/>
            <w:gridSpan w:val="2"/>
            <w:vAlign w:val="center"/>
          </w:tcPr>
          <w:p>
            <w:pPr>
              <w:autoSpaceDE w:val="0"/>
              <w:autoSpaceDN w:val="0"/>
              <w:adjustRightInd w:val="0"/>
              <w:snapToGrid w:val="0"/>
              <w:spacing w:line="360" w:lineRule="auto"/>
              <w:jc w:val="center"/>
              <w:rPr>
                <w:rFonts w:ascii="宋体" w:hAnsi="宋体"/>
                <w:kern w:val="0"/>
                <w:szCs w:val="21"/>
              </w:rPr>
            </w:pPr>
            <w:r>
              <w:rPr>
                <w:rFonts w:ascii="宋体" w:hAnsi="宋体"/>
                <w:b/>
                <w:bCs/>
                <w:kern w:val="0"/>
                <w:szCs w:val="21"/>
              </w:rPr>
              <w:t>46-55</w:t>
            </w:r>
            <w:r>
              <w:rPr>
                <w:rFonts w:hint="eastAsia" w:ascii="宋体" w:hAnsi="宋体" w:cs="仿宋_GB2312"/>
                <w:kern w:val="0"/>
                <w:szCs w:val="21"/>
              </w:rPr>
              <w:t>岁</w:t>
            </w:r>
          </w:p>
        </w:tc>
        <w:tc>
          <w:tcPr>
            <w:tcW w:w="2439" w:type="dxa"/>
            <w:gridSpan w:val="2"/>
            <w:vAlign w:val="center"/>
          </w:tcPr>
          <w:p>
            <w:pPr>
              <w:autoSpaceDE w:val="0"/>
              <w:autoSpaceDN w:val="0"/>
              <w:adjustRightInd w:val="0"/>
              <w:snapToGrid w:val="0"/>
              <w:spacing w:line="360" w:lineRule="auto"/>
              <w:jc w:val="center"/>
              <w:rPr>
                <w:rFonts w:ascii="宋体" w:hAnsi="宋体"/>
                <w:kern w:val="0"/>
                <w:szCs w:val="21"/>
              </w:rPr>
            </w:pPr>
            <w:r>
              <w:rPr>
                <w:rFonts w:ascii="宋体" w:hAnsi="宋体"/>
                <w:b/>
                <w:bCs/>
                <w:kern w:val="0"/>
                <w:szCs w:val="21"/>
              </w:rPr>
              <w:t>56</w:t>
            </w:r>
            <w:r>
              <w:rPr>
                <w:rFonts w:hint="eastAsia" w:ascii="宋体" w:hAnsi="宋体" w:cs="仿宋_GB2312"/>
                <w:kern w:val="0"/>
                <w:szCs w:val="21"/>
              </w:rPr>
              <w:t>岁及以上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snapToGrid w:val="0"/>
              <w:spacing w:line="360" w:lineRule="auto"/>
              <w:rPr>
                <w:rFonts w:ascii="宋体" w:hAnsi="宋体"/>
                <w:kern w:val="0"/>
                <w:szCs w:val="21"/>
              </w:rPr>
            </w:pPr>
          </w:p>
        </w:tc>
        <w:tc>
          <w:tcPr>
            <w:tcW w:w="947" w:type="dxa"/>
            <w:vMerge w:val="continue"/>
            <w:vAlign w:val="center"/>
          </w:tcPr>
          <w:p>
            <w:pPr>
              <w:autoSpaceDE w:val="0"/>
              <w:autoSpaceDN w:val="0"/>
              <w:adjustRightInd w:val="0"/>
              <w:snapToGrid w:val="0"/>
              <w:spacing w:line="360" w:lineRule="auto"/>
              <w:jc w:val="center"/>
              <w:rPr>
                <w:rFonts w:ascii="宋体" w:hAnsi="宋体"/>
                <w:kern w:val="0"/>
                <w:szCs w:val="21"/>
              </w:rPr>
            </w:pP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人数</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比例（％）</w:t>
            </w: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人数</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比例（％）</w:t>
            </w: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人数</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比例（％）</w:t>
            </w:r>
          </w:p>
        </w:tc>
        <w:tc>
          <w:tcPr>
            <w:tcW w:w="807"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人数</w:t>
            </w:r>
          </w:p>
        </w:tc>
        <w:tc>
          <w:tcPr>
            <w:tcW w:w="1632"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snapToGrid w:val="0"/>
              <w:spacing w:line="360" w:lineRule="auto"/>
              <w:rPr>
                <w:rFonts w:ascii="宋体" w:hAnsi="宋体"/>
                <w:kern w:val="0"/>
                <w:szCs w:val="21"/>
              </w:rPr>
            </w:pPr>
          </w:p>
        </w:tc>
        <w:tc>
          <w:tcPr>
            <w:tcW w:w="947"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1030</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251</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24.37</w:t>
            </w:r>
            <w:r>
              <w:rPr>
                <w:rFonts w:ascii="宋体" w:hAnsi="宋体"/>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ascii="宋体" w:hAnsi="宋体"/>
                <w:kern w:val="0"/>
                <w:sz w:val="22"/>
                <w:szCs w:val="21"/>
              </w:rPr>
              <w:t>4</w:t>
            </w:r>
            <w:r>
              <w:rPr>
                <w:rFonts w:hint="eastAsia" w:ascii="宋体" w:hAnsi="宋体"/>
                <w:kern w:val="0"/>
                <w:sz w:val="22"/>
                <w:szCs w:val="21"/>
              </w:rPr>
              <w:t>56</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44.27</w:t>
            </w:r>
            <w:r>
              <w:rPr>
                <w:rFonts w:ascii="宋体" w:hAnsi="宋体"/>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265</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25.73</w:t>
            </w:r>
            <w:r>
              <w:rPr>
                <w:rFonts w:ascii="宋体" w:hAnsi="宋体"/>
                <w:kern w:val="0"/>
                <w:sz w:val="22"/>
                <w:szCs w:val="21"/>
              </w:rPr>
              <w:t>%</w:t>
            </w:r>
          </w:p>
        </w:tc>
        <w:tc>
          <w:tcPr>
            <w:tcW w:w="807"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58</w:t>
            </w:r>
          </w:p>
        </w:tc>
        <w:tc>
          <w:tcPr>
            <w:tcW w:w="1632"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5.63</w:t>
            </w:r>
            <w:r>
              <w:rPr>
                <w:rFonts w:ascii="宋体" w:hAnsi="宋体"/>
                <w:kern w:val="0"/>
                <w:sz w:val="2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snapToGrid w:val="0"/>
              <w:spacing w:line="360" w:lineRule="auto"/>
              <w:rPr>
                <w:rFonts w:ascii="宋体" w:hAnsi="宋体"/>
                <w:kern w:val="0"/>
                <w:szCs w:val="21"/>
              </w:rPr>
            </w:pPr>
            <w:r>
              <w:rPr>
                <w:rFonts w:hint="eastAsia" w:ascii="宋体" w:hAnsi="宋体" w:cs="仿宋_GB2312"/>
                <w:kern w:val="0"/>
                <w:szCs w:val="21"/>
              </w:rPr>
              <w:t>职称</w:t>
            </w:r>
          </w:p>
        </w:tc>
        <w:tc>
          <w:tcPr>
            <w:tcW w:w="947" w:type="dxa"/>
            <w:vAlign w:val="center"/>
          </w:tcPr>
          <w:p>
            <w:pPr>
              <w:autoSpaceDE w:val="0"/>
              <w:autoSpaceDN w:val="0"/>
              <w:adjustRightInd w:val="0"/>
              <w:snapToGrid w:val="0"/>
              <w:spacing w:line="360" w:lineRule="auto"/>
              <w:jc w:val="center"/>
              <w:rPr>
                <w:rFonts w:ascii="宋体" w:hAnsi="宋体"/>
                <w:kern w:val="0"/>
                <w:szCs w:val="21"/>
              </w:rPr>
            </w:pPr>
            <w:r>
              <w:rPr>
                <w:rFonts w:hint="eastAsia" w:ascii="宋体" w:hAnsi="宋体" w:cs="仿宋_GB2312"/>
                <w:kern w:val="0"/>
                <w:szCs w:val="21"/>
              </w:rPr>
              <w:t>总人数</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教授</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副教授</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讲师</w:t>
            </w:r>
          </w:p>
        </w:tc>
        <w:tc>
          <w:tcPr>
            <w:tcW w:w="2439"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助教及以下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snapToGrid w:val="0"/>
              <w:spacing w:line="360" w:lineRule="auto"/>
              <w:rPr>
                <w:rFonts w:ascii="宋体" w:hAnsi="宋体" w:cs="仿宋_GB2312"/>
                <w:kern w:val="0"/>
                <w:szCs w:val="21"/>
              </w:rPr>
            </w:pPr>
          </w:p>
        </w:tc>
        <w:tc>
          <w:tcPr>
            <w:tcW w:w="947"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872</w:t>
            </w: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114</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11.07</w:t>
            </w:r>
            <w:r>
              <w:rPr>
                <w:rFonts w:ascii="宋体" w:hAnsi="宋体" w:cs="仿宋_GB2312"/>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250</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24.27</w:t>
            </w:r>
            <w:r>
              <w:rPr>
                <w:rFonts w:ascii="宋体" w:hAnsi="宋体" w:cs="仿宋_GB2312"/>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461</w:t>
            </w:r>
          </w:p>
        </w:tc>
        <w:tc>
          <w:tcPr>
            <w:tcW w:w="930"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44.76</w:t>
            </w:r>
            <w:r>
              <w:rPr>
                <w:rFonts w:ascii="宋体" w:hAnsi="宋体" w:cs="仿宋_GB2312"/>
                <w:kern w:val="0"/>
                <w:sz w:val="22"/>
                <w:szCs w:val="21"/>
              </w:rPr>
              <w:t>%</w:t>
            </w:r>
          </w:p>
        </w:tc>
        <w:tc>
          <w:tcPr>
            <w:tcW w:w="807"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47</w:t>
            </w:r>
          </w:p>
        </w:tc>
        <w:tc>
          <w:tcPr>
            <w:tcW w:w="1632" w:type="dxa"/>
            <w:vAlign w:val="center"/>
          </w:tcPr>
          <w:p>
            <w:pPr>
              <w:autoSpaceDE w:val="0"/>
              <w:autoSpaceDN w:val="0"/>
              <w:adjustRightInd w:val="0"/>
              <w:snapToGrid w:val="0"/>
              <w:spacing w:line="360" w:lineRule="auto"/>
              <w:jc w:val="center"/>
              <w:rPr>
                <w:rFonts w:ascii="宋体" w:hAnsi="宋体" w:cs="仿宋_GB2312"/>
                <w:kern w:val="0"/>
                <w:sz w:val="22"/>
                <w:szCs w:val="21"/>
              </w:rPr>
            </w:pPr>
            <w:r>
              <w:rPr>
                <w:rFonts w:hint="eastAsia" w:ascii="宋体" w:hAnsi="宋体" w:cs="仿宋_GB2312"/>
                <w:kern w:val="0"/>
                <w:sz w:val="22"/>
                <w:szCs w:val="21"/>
              </w:rPr>
              <w:t>4.56</w:t>
            </w:r>
            <w:r>
              <w:rPr>
                <w:rFonts w:ascii="宋体" w:hAnsi="宋体" w:cs="仿宋_GB2312"/>
                <w:kern w:val="0"/>
                <w:sz w:val="2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snapToGrid w:val="0"/>
              <w:spacing w:line="360" w:lineRule="auto"/>
              <w:rPr>
                <w:rFonts w:ascii="宋体" w:hAnsi="宋体" w:cs="仿宋_GB2312"/>
                <w:kern w:val="0"/>
                <w:szCs w:val="21"/>
              </w:rPr>
            </w:pPr>
            <w:r>
              <w:rPr>
                <w:rFonts w:hint="eastAsia" w:ascii="宋体" w:hAnsi="宋体" w:cs="仿宋_GB2312"/>
                <w:kern w:val="0"/>
                <w:szCs w:val="21"/>
              </w:rPr>
              <w:t>学历</w:t>
            </w:r>
          </w:p>
        </w:tc>
        <w:tc>
          <w:tcPr>
            <w:tcW w:w="947" w:type="dxa"/>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总人数</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宋体"/>
                <w:kern w:val="0"/>
                <w:szCs w:val="21"/>
              </w:rPr>
              <w:t>博士</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宋体"/>
                <w:kern w:val="0"/>
                <w:szCs w:val="21"/>
              </w:rPr>
              <w:t>硕士</w:t>
            </w:r>
          </w:p>
        </w:tc>
        <w:tc>
          <w:tcPr>
            <w:tcW w:w="1750"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宋体"/>
                <w:kern w:val="0"/>
                <w:szCs w:val="21"/>
              </w:rPr>
              <w:t>本科</w:t>
            </w:r>
          </w:p>
        </w:tc>
        <w:tc>
          <w:tcPr>
            <w:tcW w:w="2439" w:type="dxa"/>
            <w:gridSpan w:val="2"/>
            <w:vAlign w:val="center"/>
          </w:tcPr>
          <w:p>
            <w:pPr>
              <w:autoSpaceDE w:val="0"/>
              <w:autoSpaceDN w:val="0"/>
              <w:adjustRightInd w:val="0"/>
              <w:snapToGrid w:val="0"/>
              <w:spacing w:line="360" w:lineRule="auto"/>
              <w:jc w:val="center"/>
              <w:rPr>
                <w:rFonts w:ascii="宋体" w:hAnsi="宋体" w:cs="仿宋_GB2312"/>
                <w:kern w:val="0"/>
                <w:szCs w:val="21"/>
              </w:rPr>
            </w:pPr>
            <w:r>
              <w:rPr>
                <w:rFonts w:hint="eastAsia" w:ascii="宋体" w:hAnsi="宋体" w:cs="仿宋_GB2312"/>
                <w:kern w:val="0"/>
                <w:szCs w:val="21"/>
              </w:rPr>
              <w:t>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snapToGrid w:val="0"/>
              <w:spacing w:line="360" w:lineRule="auto"/>
              <w:rPr>
                <w:rFonts w:ascii="宋体" w:hAnsi="宋体"/>
                <w:kern w:val="0"/>
                <w:szCs w:val="21"/>
              </w:rPr>
            </w:pPr>
          </w:p>
        </w:tc>
        <w:tc>
          <w:tcPr>
            <w:tcW w:w="947"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1030</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391</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37.96</w:t>
            </w:r>
            <w:r>
              <w:rPr>
                <w:rFonts w:ascii="宋体" w:hAnsi="宋体"/>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499</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48.45</w:t>
            </w:r>
            <w:r>
              <w:rPr>
                <w:rFonts w:ascii="宋体" w:hAnsi="宋体"/>
                <w:kern w:val="0"/>
                <w:sz w:val="22"/>
                <w:szCs w:val="21"/>
              </w:rPr>
              <w:t>%</w:t>
            </w:r>
          </w:p>
        </w:tc>
        <w:tc>
          <w:tcPr>
            <w:tcW w:w="82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121</w:t>
            </w:r>
          </w:p>
        </w:tc>
        <w:tc>
          <w:tcPr>
            <w:tcW w:w="930"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11.75</w:t>
            </w:r>
            <w:r>
              <w:rPr>
                <w:rFonts w:ascii="宋体" w:hAnsi="宋体"/>
                <w:kern w:val="0"/>
                <w:sz w:val="22"/>
                <w:szCs w:val="21"/>
              </w:rPr>
              <w:t>%</w:t>
            </w:r>
          </w:p>
        </w:tc>
        <w:tc>
          <w:tcPr>
            <w:tcW w:w="807"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19</w:t>
            </w:r>
          </w:p>
        </w:tc>
        <w:tc>
          <w:tcPr>
            <w:tcW w:w="1632" w:type="dxa"/>
            <w:vAlign w:val="center"/>
          </w:tcPr>
          <w:p>
            <w:pPr>
              <w:autoSpaceDE w:val="0"/>
              <w:autoSpaceDN w:val="0"/>
              <w:adjustRightInd w:val="0"/>
              <w:snapToGrid w:val="0"/>
              <w:spacing w:line="360" w:lineRule="auto"/>
              <w:jc w:val="center"/>
              <w:rPr>
                <w:rFonts w:ascii="宋体" w:hAnsi="宋体"/>
                <w:kern w:val="0"/>
                <w:sz w:val="22"/>
                <w:szCs w:val="21"/>
              </w:rPr>
            </w:pPr>
            <w:r>
              <w:rPr>
                <w:rFonts w:hint="eastAsia" w:ascii="宋体" w:hAnsi="宋体"/>
                <w:kern w:val="0"/>
                <w:sz w:val="22"/>
                <w:szCs w:val="21"/>
              </w:rPr>
              <w:t>1.84</w:t>
            </w:r>
            <w:r>
              <w:rPr>
                <w:rFonts w:ascii="宋体" w:hAnsi="宋体"/>
                <w:kern w:val="0"/>
                <w:sz w:val="22"/>
                <w:szCs w:val="21"/>
              </w:rPr>
              <w:t>%</w:t>
            </w:r>
          </w:p>
        </w:tc>
      </w:tr>
    </w:tbl>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15．我校有哪些重点实验室？</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学校现有省级“2011协同创新中心”1个：浙江省农业生物资源生化制造协同创新中心。</w:t>
      </w:r>
    </w:p>
    <w:p>
      <w:pPr>
        <w:pStyle w:val="8"/>
        <w:spacing w:before="452" w:beforeAutospacing="0" w:after="150" w:afterAutospacing="0" w:line="420" w:lineRule="atLeast"/>
        <w:ind w:left="2940" w:leftChars="200" w:hanging="2460" w:hangingChars="1025"/>
      </w:pPr>
      <w:r>
        <w:rPr>
          <w:rFonts w:hint="eastAsia"/>
          <w:bCs/>
        </w:rPr>
        <w:t>省级重点实验室3个：</w:t>
      </w:r>
      <w:r>
        <w:rPr>
          <w:rFonts w:hint="eastAsia"/>
        </w:rPr>
        <w:t>浙江省农产品化学与生物加工技术重点实验室、浙江省食品物流装备技术研究重点实验室、浙江省废弃生物质循环利用与生态处理技术重点实验室。</w:t>
      </w:r>
    </w:p>
    <w:p>
      <w:pPr>
        <w:pStyle w:val="8"/>
        <w:spacing w:before="452" w:beforeAutospacing="0" w:after="150" w:afterAutospacing="0" w:line="420" w:lineRule="atLeast"/>
        <w:ind w:left="2940" w:leftChars="200" w:hanging="2460" w:hangingChars="1025"/>
      </w:pPr>
      <w:r>
        <w:rPr>
          <w:rFonts w:hint="eastAsia"/>
          <w:bCs/>
        </w:rPr>
        <w:t>省级国际科技合作基地1个：</w:t>
      </w:r>
      <w:r>
        <w:rPr>
          <w:rFonts w:hint="eastAsia"/>
        </w:rPr>
        <w:t>浙江科技学院中德ZEHN联合研究院</w:t>
      </w:r>
    </w:p>
    <w:p>
      <w:pPr>
        <w:pStyle w:val="8"/>
        <w:spacing w:before="375" w:beforeAutospacing="0" w:after="375" w:afterAutospacing="0"/>
        <w:ind w:left="3600" w:leftChars="200" w:hanging="3120" w:hangingChars="1300"/>
        <w:rPr>
          <w:bCs/>
        </w:rPr>
      </w:pPr>
      <w:r>
        <w:rPr>
          <w:rFonts w:hint="eastAsia"/>
          <w:bCs/>
        </w:rPr>
        <w:t>省级人文社科研究基地2个：</w:t>
      </w:r>
      <w:r>
        <w:rPr>
          <w:shd w:val="clear" w:color="auto" w:fill="FFFFFF"/>
        </w:rPr>
        <w:t xml:space="preserve">浙江省政务新媒体研究院 </w:t>
      </w:r>
      <w:r>
        <w:rPr>
          <w:rFonts w:hint="eastAsia"/>
          <w:shd w:val="clear" w:color="auto" w:fill="FFFFFF"/>
        </w:rPr>
        <w:t>、中国特色社会主义体系研究中心浙江科技学院研究基地。</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16．我校有多少实验教学中心？</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省级实验教学示范中心重点建设项目3个：</w:t>
      </w:r>
    </w:p>
    <w:p>
      <w:pPr>
        <w:spacing w:before="163" w:beforeLines="50" w:after="163" w:afterLines="50" w:line="400" w:lineRule="exact"/>
        <w:ind w:firstLine="1200" w:firstLineChars="500"/>
        <w:rPr>
          <w:rFonts w:ascii="宋体" w:hAnsi="宋体" w:cs="宋体"/>
          <w:bCs/>
          <w:kern w:val="0"/>
        </w:rPr>
      </w:pPr>
      <w:r>
        <w:rPr>
          <w:rFonts w:hint="eastAsia" w:ascii="宋体" w:hAnsi="宋体" w:cs="宋体"/>
          <w:bCs/>
          <w:kern w:val="0"/>
        </w:rPr>
        <w:t>机械工程实验实训教学中心、土木工程实验教学中心、艺术设计实验教学中心。</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省级实验教学示范中心5个：机电工程实验教学中心、土木工程实验教学中心、</w:t>
      </w:r>
    </w:p>
    <w:p>
      <w:pPr>
        <w:spacing w:before="163" w:beforeLines="50" w:after="163" w:afterLines="50" w:line="400" w:lineRule="exact"/>
        <w:ind w:firstLine="1200" w:firstLineChars="500"/>
        <w:rPr>
          <w:rFonts w:ascii="宋体" w:hAnsi="宋体" w:cs="宋体"/>
          <w:bCs/>
          <w:kern w:val="0"/>
        </w:rPr>
      </w:pPr>
      <w:r>
        <w:rPr>
          <w:rFonts w:hint="eastAsia" w:ascii="宋体" w:hAnsi="宋体" w:cs="宋体"/>
          <w:bCs/>
          <w:kern w:val="0"/>
        </w:rPr>
        <w:t>艺术设计实验教学中心、汽车技术实验教学中心、工程实践中心。</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省级人才培养模式创新实验区1个：</w:t>
      </w:r>
      <w:r>
        <w:rPr>
          <w:rFonts w:ascii="宋体" w:hAnsi="宋体" w:cs="Arial"/>
          <w:kern w:val="0"/>
        </w:rPr>
        <w:t>基于能力的机械工程师培养创新实验区</w:t>
      </w:r>
      <w:r>
        <w:rPr>
          <w:rFonts w:hint="eastAsia" w:ascii="宋体" w:hAnsi="宋体" w:cs="Arial"/>
          <w:kern w:val="0"/>
        </w:rPr>
        <w:t>。</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17．我校精品课程有哪些？</w:t>
      </w:r>
    </w:p>
    <w:p>
      <w:pPr>
        <w:spacing w:before="163" w:beforeLines="50" w:after="163" w:afterLines="50" w:line="400" w:lineRule="exact"/>
        <w:ind w:firstLine="480" w:firstLineChars="200"/>
        <w:rPr>
          <w:rFonts w:ascii="宋体" w:hAnsi="宋体" w:cs="宋体"/>
          <w:bCs/>
          <w:kern w:val="0"/>
        </w:rPr>
      </w:pPr>
      <w:r>
        <w:rPr>
          <w:rFonts w:hint="eastAsia" w:ascii="宋体" w:hAnsi="宋体" w:cs="宋体"/>
          <w:bCs/>
          <w:kern w:val="0"/>
        </w:rPr>
        <w:t>学校有国家级、省级精品课程共23门。</w:t>
      </w:r>
    </w:p>
    <w:p>
      <w:pPr>
        <w:spacing w:before="163" w:beforeLines="50" w:after="163" w:afterLines="50" w:line="400" w:lineRule="exact"/>
        <w:ind w:firstLine="480" w:firstLineChars="200"/>
        <w:jc w:val="center"/>
        <w:rPr>
          <w:rFonts w:ascii="宋体" w:hAnsi="宋体" w:cs="宋体"/>
          <w:bCs/>
          <w:kern w:val="0"/>
        </w:rPr>
      </w:pPr>
      <w:r>
        <w:rPr>
          <w:rFonts w:hint="eastAsia" w:ascii="宋体" w:hAnsi="宋体" w:cs="宋体"/>
          <w:bCs/>
          <w:kern w:val="0"/>
        </w:rPr>
        <w:t>国家级精品课程一览表</w:t>
      </w:r>
    </w:p>
    <w:tbl>
      <w:tblPr>
        <w:tblStyle w:val="21"/>
        <w:tblW w:w="75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16"/>
        <w:gridCol w:w="2200"/>
        <w:gridCol w:w="130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bottom"/>
          </w:tcPr>
          <w:p>
            <w:pPr>
              <w:widowControl/>
              <w:jc w:val="left"/>
              <w:textAlignment w:val="bottom"/>
              <w:rPr>
                <w:rFonts w:ascii="宋体" w:hAnsi="宋体" w:eastAsia="宋体" w:cs="宋体"/>
                <w:kern w:val="0"/>
              </w:rPr>
            </w:pPr>
            <w:r>
              <w:rPr>
                <w:rFonts w:hint="eastAsia" w:ascii="宋体" w:hAnsi="宋体" w:eastAsia="宋体" w:cs="宋体"/>
                <w:kern w:val="0"/>
              </w:rPr>
              <w:t>序号</w:t>
            </w:r>
          </w:p>
        </w:tc>
        <w:tc>
          <w:tcPr>
            <w:tcW w:w="2116" w:type="dxa"/>
            <w:vAlign w:val="bottom"/>
          </w:tcPr>
          <w:p>
            <w:pPr>
              <w:widowControl/>
              <w:jc w:val="left"/>
              <w:textAlignment w:val="bottom"/>
              <w:rPr>
                <w:rFonts w:ascii="宋体" w:hAnsi="宋体" w:eastAsia="宋体" w:cs="宋体"/>
                <w:bCs/>
                <w:kern w:val="0"/>
              </w:rPr>
            </w:pPr>
            <w:r>
              <w:rPr>
                <w:rFonts w:hint="eastAsia" w:ascii="宋体" w:hAnsi="宋体" w:eastAsia="宋体" w:cs="宋体"/>
              </w:rPr>
              <w:t>精品课程</w:t>
            </w:r>
            <w:r>
              <w:rPr>
                <w:rFonts w:hint="eastAsia" w:ascii="宋体" w:hAnsi="宋体" w:eastAsia="宋体" w:cs="宋体"/>
                <w:kern w:val="0"/>
              </w:rPr>
              <w:t>名称</w:t>
            </w:r>
          </w:p>
        </w:tc>
        <w:tc>
          <w:tcPr>
            <w:tcW w:w="2200" w:type="dxa"/>
            <w:vAlign w:val="bottom"/>
          </w:tcPr>
          <w:p>
            <w:pPr>
              <w:widowControl/>
              <w:jc w:val="left"/>
              <w:textAlignment w:val="bottom"/>
              <w:rPr>
                <w:rFonts w:ascii="宋体" w:hAnsi="宋体" w:eastAsia="宋体" w:cs="宋体"/>
                <w:bCs/>
                <w:kern w:val="0"/>
              </w:rPr>
            </w:pPr>
            <w:r>
              <w:rPr>
                <w:rFonts w:hint="eastAsia" w:ascii="宋体" w:hAnsi="宋体" w:eastAsia="宋体" w:cs="宋体"/>
                <w:kern w:val="0"/>
              </w:rPr>
              <w:t>类别</w:t>
            </w:r>
          </w:p>
        </w:tc>
        <w:tc>
          <w:tcPr>
            <w:tcW w:w="1300" w:type="dxa"/>
            <w:vAlign w:val="bottom"/>
          </w:tcPr>
          <w:p>
            <w:pPr>
              <w:widowControl/>
              <w:jc w:val="left"/>
              <w:textAlignment w:val="bottom"/>
              <w:rPr>
                <w:rFonts w:ascii="宋体" w:hAnsi="宋体" w:eastAsia="宋体" w:cs="宋体"/>
                <w:bCs/>
                <w:kern w:val="0"/>
              </w:rPr>
            </w:pPr>
            <w:r>
              <w:rPr>
                <w:rFonts w:hint="eastAsia" w:ascii="宋体" w:hAnsi="宋体" w:eastAsia="宋体" w:cs="宋体"/>
                <w:kern w:val="0"/>
              </w:rPr>
              <w:t>立项时间</w:t>
            </w:r>
          </w:p>
        </w:tc>
        <w:tc>
          <w:tcPr>
            <w:tcW w:w="1150" w:type="dxa"/>
            <w:vAlign w:val="bottom"/>
          </w:tcPr>
          <w:p>
            <w:pPr>
              <w:widowControl/>
              <w:jc w:val="left"/>
              <w:textAlignment w:val="bottom"/>
              <w:rPr>
                <w:rFonts w:ascii="宋体" w:hAnsi="宋体" w:eastAsia="宋体" w:cs="宋体"/>
                <w:kern w:val="0"/>
              </w:rPr>
            </w:pPr>
            <w:r>
              <w:rPr>
                <w:rFonts w:hint="eastAsia" w:ascii="宋体" w:hAnsi="宋体" w:eastAsia="宋体" w:cs="宋体"/>
                <w:kern w:val="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5" w:hRule="atLeast"/>
          <w:jc w:val="center"/>
        </w:trPr>
        <w:tc>
          <w:tcPr>
            <w:tcW w:w="828" w:type="dxa"/>
            <w:vAlign w:val="center"/>
          </w:tcPr>
          <w:p>
            <w:pPr>
              <w:widowControl/>
              <w:jc w:val="left"/>
              <w:textAlignment w:val="center"/>
              <w:rPr>
                <w:rStyle w:val="29"/>
                <w:rFonts w:ascii="宋体" w:hAnsi="宋体" w:eastAsia="宋体" w:cs="宋体"/>
                <w:color w:val="auto"/>
                <w:sz w:val="24"/>
                <w:szCs w:val="24"/>
              </w:rPr>
            </w:pPr>
            <w:r>
              <w:rPr>
                <w:rStyle w:val="29"/>
                <w:rFonts w:hint="eastAsia" w:ascii="宋体" w:hAnsi="宋体" w:eastAsia="宋体" w:cs="宋体"/>
                <w:color w:val="auto"/>
                <w:sz w:val="24"/>
                <w:szCs w:val="24"/>
              </w:rPr>
              <w:t>1</w:t>
            </w:r>
          </w:p>
        </w:tc>
        <w:tc>
          <w:tcPr>
            <w:tcW w:w="2116" w:type="dxa"/>
            <w:vAlign w:val="center"/>
          </w:tcPr>
          <w:p>
            <w:pPr>
              <w:widowControl/>
              <w:jc w:val="left"/>
              <w:textAlignment w:val="center"/>
              <w:rPr>
                <w:rFonts w:ascii="宋体" w:hAnsi="宋体" w:eastAsia="宋体" w:cs="宋体"/>
                <w:bCs/>
                <w:kern w:val="0"/>
              </w:rPr>
            </w:pPr>
            <w:r>
              <w:rPr>
                <w:rStyle w:val="29"/>
                <w:rFonts w:hint="eastAsia" w:ascii="宋体" w:hAnsi="宋体" w:eastAsia="宋体" w:cs="宋体"/>
                <w:color w:val="auto"/>
                <w:sz w:val="24"/>
                <w:szCs w:val="24"/>
              </w:rPr>
              <w:t>“</w:t>
            </w:r>
            <w:r>
              <w:rPr>
                <w:rStyle w:val="30"/>
                <w:rFonts w:hint="default"/>
                <w:color w:val="auto"/>
                <w:sz w:val="24"/>
                <w:szCs w:val="24"/>
              </w:rPr>
              <w:t>经典力学基础</w:t>
            </w:r>
            <w:r>
              <w:rPr>
                <w:rStyle w:val="29"/>
                <w:rFonts w:hint="eastAsia" w:ascii="宋体" w:hAnsi="宋体" w:eastAsia="宋体" w:cs="宋体"/>
                <w:color w:val="auto"/>
                <w:sz w:val="24"/>
                <w:szCs w:val="24"/>
              </w:rPr>
              <w:t>”</w:t>
            </w:r>
          </w:p>
        </w:tc>
        <w:tc>
          <w:tcPr>
            <w:tcW w:w="2200" w:type="dxa"/>
            <w:vAlign w:val="bottom"/>
          </w:tcPr>
          <w:p>
            <w:pPr>
              <w:widowControl/>
              <w:jc w:val="left"/>
              <w:textAlignment w:val="bottom"/>
              <w:rPr>
                <w:rFonts w:ascii="宋体" w:hAnsi="宋体" w:eastAsia="宋体" w:cs="宋体"/>
                <w:bCs/>
                <w:kern w:val="0"/>
              </w:rPr>
            </w:pPr>
            <w:r>
              <w:rPr>
                <w:rFonts w:hint="eastAsia" w:ascii="宋体" w:hAnsi="宋体" w:eastAsia="宋体" w:cs="宋体"/>
                <w:kern w:val="0"/>
              </w:rPr>
              <w:t>国家级来华留学英语授课品牌课程</w:t>
            </w:r>
          </w:p>
        </w:tc>
        <w:tc>
          <w:tcPr>
            <w:tcW w:w="1300" w:type="dxa"/>
            <w:vAlign w:val="center"/>
          </w:tcPr>
          <w:p>
            <w:pPr>
              <w:widowControl/>
              <w:jc w:val="center"/>
              <w:textAlignment w:val="center"/>
              <w:rPr>
                <w:rFonts w:ascii="宋体" w:hAnsi="宋体" w:eastAsia="宋体" w:cs="宋体"/>
                <w:bCs/>
                <w:kern w:val="0"/>
              </w:rPr>
            </w:pPr>
            <w:r>
              <w:rPr>
                <w:rFonts w:hint="eastAsia" w:ascii="宋体" w:hAnsi="宋体" w:eastAsia="宋体" w:cs="宋体"/>
                <w:kern w:val="0"/>
              </w:rPr>
              <w:t>2017年</w:t>
            </w:r>
          </w:p>
        </w:tc>
        <w:tc>
          <w:tcPr>
            <w:tcW w:w="1150" w:type="dxa"/>
            <w:vAlign w:val="center"/>
          </w:tcPr>
          <w:p>
            <w:pPr>
              <w:widowControl/>
              <w:jc w:val="center"/>
              <w:textAlignment w:val="center"/>
              <w:rPr>
                <w:rFonts w:ascii="宋体" w:hAnsi="宋体" w:eastAsia="宋体" w:cs="宋体"/>
                <w:kern w:val="0"/>
              </w:rPr>
            </w:pPr>
            <w:r>
              <w:rPr>
                <w:rFonts w:hint="eastAsia" w:ascii="宋体" w:hAnsi="宋体" w:eastAsia="宋体" w:cs="宋体"/>
                <w:bCs/>
                <w:kern w:val="0"/>
              </w:rPr>
              <w:t>骆均炎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widowControl/>
              <w:jc w:val="left"/>
              <w:textAlignment w:val="center"/>
              <w:rPr>
                <w:rStyle w:val="29"/>
                <w:rFonts w:ascii="宋体" w:hAnsi="宋体" w:eastAsia="宋体" w:cs="宋体"/>
                <w:color w:val="auto"/>
                <w:sz w:val="24"/>
                <w:szCs w:val="24"/>
              </w:rPr>
            </w:pPr>
            <w:r>
              <w:rPr>
                <w:rStyle w:val="29"/>
                <w:rFonts w:hint="eastAsia" w:ascii="宋体" w:hAnsi="宋体" w:eastAsia="宋体" w:cs="宋体"/>
                <w:color w:val="auto"/>
                <w:sz w:val="24"/>
                <w:szCs w:val="24"/>
              </w:rPr>
              <w:t>2</w:t>
            </w:r>
          </w:p>
        </w:tc>
        <w:tc>
          <w:tcPr>
            <w:tcW w:w="2116" w:type="dxa"/>
            <w:vAlign w:val="center"/>
          </w:tcPr>
          <w:p>
            <w:pPr>
              <w:widowControl/>
              <w:jc w:val="left"/>
              <w:textAlignment w:val="center"/>
              <w:rPr>
                <w:rFonts w:ascii="宋体" w:hAnsi="宋体" w:eastAsia="宋体" w:cs="宋体"/>
                <w:bCs/>
                <w:kern w:val="0"/>
              </w:rPr>
            </w:pPr>
            <w:r>
              <w:rPr>
                <w:rStyle w:val="29"/>
                <w:rFonts w:hint="eastAsia" w:ascii="宋体" w:hAnsi="宋体" w:eastAsia="宋体" w:cs="宋体"/>
                <w:color w:val="auto"/>
                <w:sz w:val="24"/>
                <w:szCs w:val="24"/>
              </w:rPr>
              <w:t>“</w:t>
            </w:r>
            <w:r>
              <w:rPr>
                <w:rStyle w:val="30"/>
                <w:rFonts w:hint="default"/>
                <w:color w:val="auto"/>
                <w:sz w:val="24"/>
                <w:szCs w:val="24"/>
              </w:rPr>
              <w:t>现代绘画赏析</w:t>
            </w:r>
            <w:r>
              <w:rPr>
                <w:rStyle w:val="29"/>
                <w:rFonts w:hint="eastAsia" w:ascii="宋体" w:hAnsi="宋体" w:eastAsia="宋体" w:cs="宋体"/>
                <w:color w:val="auto"/>
                <w:sz w:val="24"/>
                <w:szCs w:val="24"/>
              </w:rPr>
              <w:t>”</w:t>
            </w:r>
          </w:p>
        </w:tc>
        <w:tc>
          <w:tcPr>
            <w:tcW w:w="2200" w:type="dxa"/>
            <w:vAlign w:val="bottom"/>
          </w:tcPr>
          <w:p>
            <w:pPr>
              <w:widowControl/>
              <w:jc w:val="left"/>
              <w:textAlignment w:val="bottom"/>
              <w:rPr>
                <w:rFonts w:ascii="宋体" w:hAnsi="宋体" w:eastAsia="宋体" w:cs="宋体"/>
                <w:bCs/>
                <w:kern w:val="0"/>
              </w:rPr>
            </w:pPr>
            <w:r>
              <w:rPr>
                <w:rFonts w:hint="eastAsia" w:ascii="宋体" w:hAnsi="宋体" w:eastAsia="宋体" w:cs="宋体"/>
                <w:kern w:val="0"/>
              </w:rPr>
              <w:t>国家级视频公开课程</w:t>
            </w:r>
          </w:p>
        </w:tc>
        <w:tc>
          <w:tcPr>
            <w:tcW w:w="1300" w:type="dxa"/>
            <w:vAlign w:val="center"/>
          </w:tcPr>
          <w:p>
            <w:pPr>
              <w:widowControl/>
              <w:jc w:val="center"/>
              <w:textAlignment w:val="center"/>
              <w:rPr>
                <w:rFonts w:ascii="宋体" w:hAnsi="宋体" w:eastAsia="宋体" w:cs="宋体"/>
                <w:bCs/>
                <w:kern w:val="0"/>
              </w:rPr>
            </w:pPr>
            <w:r>
              <w:rPr>
                <w:rFonts w:hint="eastAsia" w:ascii="宋体" w:hAnsi="宋体" w:eastAsia="宋体" w:cs="宋体"/>
                <w:kern w:val="0"/>
              </w:rPr>
              <w:t>2013年</w:t>
            </w:r>
          </w:p>
        </w:tc>
        <w:tc>
          <w:tcPr>
            <w:tcW w:w="1150" w:type="dxa"/>
            <w:vAlign w:val="center"/>
          </w:tcPr>
          <w:p>
            <w:pPr>
              <w:widowControl/>
              <w:jc w:val="center"/>
              <w:textAlignment w:val="center"/>
              <w:rPr>
                <w:rFonts w:ascii="宋体" w:hAnsi="宋体" w:eastAsia="宋体" w:cs="宋体"/>
                <w:kern w:val="0"/>
              </w:rPr>
            </w:pPr>
            <w:r>
              <w:rPr>
                <w:rFonts w:hint="eastAsia" w:ascii="宋体" w:hAnsi="宋体" w:eastAsia="宋体" w:cs="宋体"/>
                <w:bCs/>
                <w:kern w:val="0"/>
              </w:rPr>
              <w:t>刘颖林</w:t>
            </w:r>
          </w:p>
        </w:tc>
      </w:tr>
    </w:tbl>
    <w:p>
      <w:pPr>
        <w:spacing w:before="163" w:beforeLines="50" w:after="163" w:afterLines="50" w:line="400" w:lineRule="exact"/>
        <w:rPr>
          <w:rFonts w:ascii="宋体" w:hAnsi="宋体" w:eastAsia="宋体" w:cs="宋体"/>
          <w:bCs/>
          <w:kern w:val="0"/>
        </w:rPr>
      </w:pPr>
    </w:p>
    <w:p>
      <w:pPr>
        <w:spacing w:before="163" w:beforeLines="50" w:after="163" w:afterLines="50" w:line="400" w:lineRule="exact"/>
        <w:jc w:val="center"/>
        <w:rPr>
          <w:rFonts w:ascii="宋体" w:hAnsi="宋体" w:cs="宋体"/>
          <w:bCs/>
          <w:kern w:val="0"/>
        </w:rPr>
      </w:pPr>
      <w:r>
        <w:rPr>
          <w:rFonts w:hint="eastAsia"/>
        </w:rPr>
        <w:t>省级精品课程</w:t>
      </w:r>
      <w:r>
        <w:rPr>
          <w:rFonts w:hint="eastAsia"/>
          <w:kern w:val="0"/>
        </w:rPr>
        <w:t>一览表</w:t>
      </w:r>
    </w:p>
    <w:tbl>
      <w:tblPr>
        <w:tblStyle w:val="20"/>
        <w:tblW w:w="6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3137"/>
        <w:gridCol w:w="120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96" w:type="dxa"/>
            <w:vAlign w:val="center"/>
          </w:tcPr>
          <w:p>
            <w:pPr>
              <w:jc w:val="center"/>
              <w:rPr>
                <w:rFonts w:ascii="宋体" w:hAnsi="宋体" w:eastAsia="宋体" w:cs="宋体"/>
              </w:rPr>
            </w:pPr>
            <w:r>
              <w:rPr>
                <w:rFonts w:hint="eastAsia" w:ascii="宋体" w:hAnsi="宋体" w:eastAsia="宋体" w:cs="宋体"/>
              </w:rPr>
              <w:t>序号</w:t>
            </w:r>
          </w:p>
        </w:tc>
        <w:tc>
          <w:tcPr>
            <w:tcW w:w="3137" w:type="dxa"/>
            <w:vAlign w:val="center"/>
          </w:tcPr>
          <w:p>
            <w:pPr>
              <w:jc w:val="center"/>
              <w:rPr>
                <w:rFonts w:ascii="宋体" w:hAnsi="宋体" w:eastAsia="宋体" w:cs="宋体"/>
              </w:rPr>
            </w:pPr>
            <w:r>
              <w:rPr>
                <w:rFonts w:hint="eastAsia" w:ascii="宋体" w:hAnsi="宋体" w:eastAsia="宋体" w:cs="宋体"/>
              </w:rPr>
              <w:t>精品课程名称</w:t>
            </w:r>
          </w:p>
        </w:tc>
        <w:tc>
          <w:tcPr>
            <w:tcW w:w="1200" w:type="dxa"/>
            <w:vAlign w:val="center"/>
          </w:tcPr>
          <w:p>
            <w:pPr>
              <w:jc w:val="center"/>
              <w:rPr>
                <w:rFonts w:ascii="宋体" w:hAnsi="宋体" w:eastAsia="宋体" w:cs="宋体"/>
              </w:rPr>
            </w:pPr>
            <w:r>
              <w:rPr>
                <w:rFonts w:hint="eastAsia" w:ascii="宋体" w:hAnsi="宋体" w:eastAsia="宋体" w:cs="宋体"/>
              </w:rPr>
              <w:t>立项时间</w:t>
            </w:r>
          </w:p>
        </w:tc>
        <w:tc>
          <w:tcPr>
            <w:tcW w:w="1207" w:type="dxa"/>
            <w:vAlign w:val="center"/>
          </w:tcPr>
          <w:p>
            <w:pPr>
              <w:jc w:val="center"/>
              <w:rPr>
                <w:rFonts w:ascii="宋体" w:hAnsi="宋体" w:eastAsia="宋体" w:cs="宋体"/>
              </w:rPr>
            </w:pPr>
            <w:r>
              <w:rPr>
                <w:rFonts w:hint="eastAsia" w:ascii="宋体" w:hAnsi="宋体" w:eastAsia="宋体" w:cs="宋体"/>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w:t>
            </w:r>
          </w:p>
        </w:tc>
        <w:tc>
          <w:tcPr>
            <w:tcW w:w="3137" w:type="dxa"/>
            <w:vAlign w:val="center"/>
          </w:tcPr>
          <w:p>
            <w:pPr>
              <w:jc w:val="center"/>
              <w:rPr>
                <w:rFonts w:ascii="宋体" w:hAnsi="宋体" w:eastAsia="宋体" w:cs="宋体"/>
              </w:rPr>
            </w:pPr>
            <w:r>
              <w:rPr>
                <w:rFonts w:hint="eastAsia" w:ascii="宋体" w:hAnsi="宋体" w:eastAsia="宋体" w:cs="宋体"/>
              </w:rPr>
              <w:t>物理化学</w:t>
            </w:r>
          </w:p>
        </w:tc>
        <w:tc>
          <w:tcPr>
            <w:tcW w:w="1200" w:type="dxa"/>
            <w:vAlign w:val="center"/>
          </w:tcPr>
          <w:p>
            <w:pPr>
              <w:jc w:val="center"/>
              <w:rPr>
                <w:rFonts w:ascii="宋体" w:hAnsi="宋体" w:eastAsia="宋体" w:cs="宋体"/>
              </w:rPr>
            </w:pPr>
            <w:r>
              <w:rPr>
                <w:rFonts w:hint="eastAsia" w:ascii="宋体" w:hAnsi="宋体" w:eastAsia="宋体" w:cs="宋体"/>
              </w:rPr>
              <w:t>2003年</w:t>
            </w:r>
          </w:p>
        </w:tc>
        <w:tc>
          <w:tcPr>
            <w:tcW w:w="1207" w:type="dxa"/>
            <w:vAlign w:val="center"/>
          </w:tcPr>
          <w:p>
            <w:pPr>
              <w:jc w:val="center"/>
              <w:rPr>
                <w:rFonts w:ascii="宋体" w:hAnsi="宋体" w:eastAsia="宋体" w:cs="宋体"/>
              </w:rPr>
            </w:pPr>
            <w:r>
              <w:rPr>
                <w:rFonts w:hint="eastAsia" w:ascii="宋体" w:hAnsi="宋体" w:eastAsia="宋体" w:cs="宋体"/>
              </w:rPr>
              <w:t>张立庆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2</w:t>
            </w:r>
          </w:p>
        </w:tc>
        <w:tc>
          <w:tcPr>
            <w:tcW w:w="3137" w:type="dxa"/>
            <w:vAlign w:val="center"/>
          </w:tcPr>
          <w:p>
            <w:pPr>
              <w:jc w:val="center"/>
              <w:rPr>
                <w:rFonts w:ascii="宋体" w:hAnsi="宋体" w:eastAsia="宋体" w:cs="宋体"/>
              </w:rPr>
            </w:pPr>
            <w:r>
              <w:rPr>
                <w:rFonts w:hint="eastAsia" w:ascii="宋体" w:hAnsi="宋体" w:eastAsia="宋体" w:cs="宋体"/>
              </w:rPr>
              <w:t>VB程序设计</w:t>
            </w:r>
          </w:p>
        </w:tc>
        <w:tc>
          <w:tcPr>
            <w:tcW w:w="1200" w:type="dxa"/>
            <w:vAlign w:val="center"/>
          </w:tcPr>
          <w:p>
            <w:pPr>
              <w:jc w:val="center"/>
              <w:rPr>
                <w:rFonts w:ascii="宋体" w:hAnsi="宋体" w:eastAsia="宋体" w:cs="宋体"/>
              </w:rPr>
            </w:pPr>
            <w:r>
              <w:rPr>
                <w:rFonts w:hint="eastAsia" w:ascii="宋体" w:hAnsi="宋体" w:eastAsia="宋体" w:cs="宋体"/>
              </w:rPr>
              <w:t>2003年</w:t>
            </w:r>
          </w:p>
        </w:tc>
        <w:tc>
          <w:tcPr>
            <w:tcW w:w="1207" w:type="dxa"/>
            <w:vAlign w:val="center"/>
          </w:tcPr>
          <w:p>
            <w:pPr>
              <w:jc w:val="center"/>
              <w:rPr>
                <w:rFonts w:ascii="宋体" w:hAnsi="宋体" w:eastAsia="宋体" w:cs="宋体"/>
              </w:rPr>
            </w:pPr>
            <w:r>
              <w:rPr>
                <w:rFonts w:hint="eastAsia" w:ascii="宋体" w:hAnsi="宋体" w:eastAsia="宋体" w:cs="宋体"/>
              </w:rPr>
              <w:t>罗朝盛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3</w:t>
            </w:r>
          </w:p>
        </w:tc>
        <w:tc>
          <w:tcPr>
            <w:tcW w:w="3137" w:type="dxa"/>
            <w:vAlign w:val="center"/>
          </w:tcPr>
          <w:p>
            <w:pPr>
              <w:jc w:val="center"/>
              <w:rPr>
                <w:rFonts w:ascii="宋体" w:hAnsi="宋体" w:eastAsia="宋体" w:cs="宋体"/>
              </w:rPr>
            </w:pPr>
            <w:r>
              <w:rPr>
                <w:rFonts w:hint="eastAsia" w:ascii="宋体" w:hAnsi="宋体" w:eastAsia="宋体" w:cs="宋体"/>
              </w:rPr>
              <w:t>无机及分析化学</w:t>
            </w:r>
          </w:p>
        </w:tc>
        <w:tc>
          <w:tcPr>
            <w:tcW w:w="1200" w:type="dxa"/>
            <w:vAlign w:val="center"/>
          </w:tcPr>
          <w:p>
            <w:pPr>
              <w:jc w:val="center"/>
              <w:rPr>
                <w:rFonts w:ascii="宋体" w:hAnsi="宋体" w:eastAsia="宋体" w:cs="宋体"/>
              </w:rPr>
            </w:pPr>
            <w:r>
              <w:rPr>
                <w:rFonts w:hint="eastAsia" w:ascii="宋体" w:hAnsi="宋体" w:eastAsia="宋体" w:cs="宋体"/>
              </w:rPr>
              <w:t>2004年</w:t>
            </w:r>
          </w:p>
        </w:tc>
        <w:tc>
          <w:tcPr>
            <w:tcW w:w="1207" w:type="dxa"/>
            <w:vAlign w:val="center"/>
          </w:tcPr>
          <w:p>
            <w:pPr>
              <w:jc w:val="center"/>
              <w:rPr>
                <w:rFonts w:ascii="宋体" w:hAnsi="宋体" w:eastAsia="宋体" w:cs="宋体"/>
              </w:rPr>
            </w:pPr>
            <w:r>
              <w:rPr>
                <w:rFonts w:hint="eastAsia" w:ascii="宋体" w:hAnsi="宋体" w:eastAsia="宋体" w:cs="宋体"/>
              </w:rPr>
              <w:t>张立庆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4</w:t>
            </w:r>
          </w:p>
        </w:tc>
        <w:tc>
          <w:tcPr>
            <w:tcW w:w="3137" w:type="dxa"/>
            <w:vAlign w:val="center"/>
          </w:tcPr>
          <w:p>
            <w:pPr>
              <w:jc w:val="center"/>
              <w:rPr>
                <w:rFonts w:ascii="宋体" w:hAnsi="宋体" w:eastAsia="宋体" w:cs="宋体"/>
              </w:rPr>
            </w:pPr>
            <w:r>
              <w:rPr>
                <w:rFonts w:hint="eastAsia" w:ascii="宋体" w:hAnsi="宋体" w:eastAsia="宋体" w:cs="宋体"/>
              </w:rPr>
              <w:t>机械制造基础</w:t>
            </w:r>
          </w:p>
        </w:tc>
        <w:tc>
          <w:tcPr>
            <w:tcW w:w="1200" w:type="dxa"/>
            <w:vAlign w:val="center"/>
          </w:tcPr>
          <w:p>
            <w:pPr>
              <w:jc w:val="center"/>
              <w:rPr>
                <w:rFonts w:ascii="宋体" w:hAnsi="宋体" w:eastAsia="宋体" w:cs="宋体"/>
              </w:rPr>
            </w:pPr>
            <w:r>
              <w:rPr>
                <w:rFonts w:hint="eastAsia" w:ascii="宋体" w:hAnsi="宋体" w:eastAsia="宋体" w:cs="宋体"/>
              </w:rPr>
              <w:t>2005年</w:t>
            </w:r>
          </w:p>
        </w:tc>
        <w:tc>
          <w:tcPr>
            <w:tcW w:w="1207" w:type="dxa"/>
            <w:vAlign w:val="center"/>
          </w:tcPr>
          <w:p>
            <w:pPr>
              <w:jc w:val="center"/>
              <w:rPr>
                <w:rFonts w:ascii="宋体" w:hAnsi="宋体" w:eastAsia="宋体" w:cs="宋体"/>
              </w:rPr>
            </w:pPr>
            <w:r>
              <w:rPr>
                <w:rFonts w:hint="eastAsia" w:ascii="宋体" w:hAnsi="宋体" w:eastAsia="宋体" w:cs="宋体"/>
              </w:rPr>
              <w:t>林  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5</w:t>
            </w:r>
          </w:p>
        </w:tc>
        <w:tc>
          <w:tcPr>
            <w:tcW w:w="3137" w:type="dxa"/>
            <w:vAlign w:val="center"/>
          </w:tcPr>
          <w:p>
            <w:pPr>
              <w:jc w:val="center"/>
              <w:rPr>
                <w:rFonts w:ascii="宋体" w:hAnsi="宋体" w:eastAsia="宋体" w:cs="宋体"/>
              </w:rPr>
            </w:pPr>
            <w:r>
              <w:rPr>
                <w:rFonts w:hint="eastAsia" w:ascii="宋体" w:hAnsi="宋体" w:eastAsia="宋体" w:cs="宋体"/>
              </w:rPr>
              <w:t>有机化学</w:t>
            </w:r>
          </w:p>
        </w:tc>
        <w:tc>
          <w:tcPr>
            <w:tcW w:w="1200" w:type="dxa"/>
            <w:vAlign w:val="center"/>
          </w:tcPr>
          <w:p>
            <w:pPr>
              <w:jc w:val="center"/>
              <w:rPr>
                <w:rFonts w:ascii="宋体" w:hAnsi="宋体" w:eastAsia="宋体" w:cs="宋体"/>
              </w:rPr>
            </w:pPr>
            <w:r>
              <w:rPr>
                <w:rFonts w:hint="eastAsia" w:ascii="宋体" w:hAnsi="宋体" w:eastAsia="宋体" w:cs="宋体"/>
              </w:rPr>
              <w:t>2005年</w:t>
            </w:r>
          </w:p>
        </w:tc>
        <w:tc>
          <w:tcPr>
            <w:tcW w:w="1207" w:type="dxa"/>
            <w:vAlign w:val="center"/>
          </w:tcPr>
          <w:p>
            <w:pPr>
              <w:jc w:val="center"/>
              <w:rPr>
                <w:rFonts w:ascii="宋体" w:hAnsi="宋体" w:eastAsia="宋体" w:cs="宋体"/>
              </w:rPr>
            </w:pPr>
            <w:r>
              <w:rPr>
                <w:rFonts w:hint="eastAsia" w:ascii="宋体" w:hAnsi="宋体" w:eastAsia="宋体" w:cs="宋体"/>
              </w:rPr>
              <w:t>张培志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6</w:t>
            </w:r>
          </w:p>
        </w:tc>
        <w:tc>
          <w:tcPr>
            <w:tcW w:w="3137" w:type="dxa"/>
            <w:vAlign w:val="center"/>
          </w:tcPr>
          <w:p>
            <w:pPr>
              <w:jc w:val="center"/>
              <w:rPr>
                <w:rFonts w:ascii="宋体" w:hAnsi="宋体" w:eastAsia="宋体" w:cs="宋体"/>
              </w:rPr>
            </w:pPr>
            <w:r>
              <w:fldChar w:fldCharType="begin"/>
            </w:r>
            <w:r>
              <w:instrText xml:space="preserve"> HYPERLINK "http://jpkc.zust.edu.cn/ysglweb/index.htm" \t "_blank" </w:instrText>
            </w:r>
            <w:r>
              <w:fldChar w:fldCharType="separate"/>
            </w:r>
            <w:r>
              <w:rPr>
                <w:rFonts w:hint="eastAsia" w:ascii="宋体" w:hAnsi="宋体" w:eastAsia="宋体" w:cs="宋体"/>
              </w:rPr>
              <w:t>艺术概论</w:t>
            </w:r>
            <w:r>
              <w:rPr>
                <w:rFonts w:hint="eastAsia" w:ascii="宋体" w:hAnsi="宋体" w:eastAsia="宋体" w:cs="宋体"/>
              </w:rPr>
              <w:fldChar w:fldCharType="end"/>
            </w:r>
          </w:p>
        </w:tc>
        <w:tc>
          <w:tcPr>
            <w:tcW w:w="1200" w:type="dxa"/>
            <w:vAlign w:val="center"/>
          </w:tcPr>
          <w:p>
            <w:pPr>
              <w:jc w:val="center"/>
              <w:rPr>
                <w:rFonts w:ascii="宋体" w:hAnsi="宋体" w:eastAsia="宋体" w:cs="宋体"/>
              </w:rPr>
            </w:pPr>
            <w:r>
              <w:rPr>
                <w:rFonts w:hint="eastAsia" w:ascii="宋体" w:hAnsi="宋体" w:eastAsia="宋体" w:cs="宋体"/>
              </w:rPr>
              <w:t>2006年</w:t>
            </w:r>
          </w:p>
        </w:tc>
        <w:tc>
          <w:tcPr>
            <w:tcW w:w="1207" w:type="dxa"/>
            <w:vAlign w:val="center"/>
          </w:tcPr>
          <w:p>
            <w:pPr>
              <w:jc w:val="center"/>
              <w:rPr>
                <w:rFonts w:ascii="宋体" w:hAnsi="宋体" w:eastAsia="宋体" w:cs="宋体"/>
              </w:rPr>
            </w:pPr>
            <w:r>
              <w:rPr>
                <w:rFonts w:hint="eastAsia" w:ascii="宋体" w:hAnsi="宋体" w:eastAsia="宋体" w:cs="宋体"/>
              </w:rPr>
              <w:t>洪文尧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7</w:t>
            </w:r>
          </w:p>
        </w:tc>
        <w:tc>
          <w:tcPr>
            <w:tcW w:w="3137" w:type="dxa"/>
            <w:vAlign w:val="center"/>
          </w:tcPr>
          <w:p>
            <w:pPr>
              <w:jc w:val="center"/>
              <w:rPr>
                <w:rFonts w:ascii="宋体" w:hAnsi="宋体" w:eastAsia="宋体" w:cs="宋体"/>
              </w:rPr>
            </w:pPr>
            <w:r>
              <w:rPr>
                <w:rFonts w:hint="eastAsia" w:ascii="宋体" w:hAnsi="宋体" w:eastAsia="宋体" w:cs="宋体"/>
              </w:rPr>
              <w:t>机械设计</w:t>
            </w:r>
          </w:p>
        </w:tc>
        <w:tc>
          <w:tcPr>
            <w:tcW w:w="1200" w:type="dxa"/>
            <w:vAlign w:val="center"/>
          </w:tcPr>
          <w:p>
            <w:pPr>
              <w:jc w:val="center"/>
              <w:rPr>
                <w:rFonts w:ascii="宋体" w:hAnsi="宋体" w:eastAsia="宋体" w:cs="宋体"/>
              </w:rPr>
            </w:pPr>
            <w:r>
              <w:rPr>
                <w:rFonts w:hint="eastAsia" w:ascii="宋体" w:hAnsi="宋体" w:eastAsia="宋体" w:cs="宋体"/>
              </w:rPr>
              <w:t>2007年</w:t>
            </w:r>
          </w:p>
        </w:tc>
        <w:tc>
          <w:tcPr>
            <w:tcW w:w="1207" w:type="dxa"/>
            <w:vAlign w:val="center"/>
          </w:tcPr>
          <w:p>
            <w:pPr>
              <w:jc w:val="center"/>
              <w:rPr>
                <w:rFonts w:ascii="宋体" w:hAnsi="宋体" w:eastAsia="宋体" w:cs="宋体"/>
              </w:rPr>
            </w:pPr>
            <w:r>
              <w:rPr>
                <w:rFonts w:hint="eastAsia" w:ascii="宋体" w:hAnsi="宋体" w:eastAsia="宋体" w:cs="宋体"/>
              </w:rPr>
              <w:t>赵东福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8</w:t>
            </w:r>
          </w:p>
        </w:tc>
        <w:tc>
          <w:tcPr>
            <w:tcW w:w="3137" w:type="dxa"/>
            <w:vAlign w:val="center"/>
          </w:tcPr>
          <w:p>
            <w:pPr>
              <w:jc w:val="center"/>
              <w:rPr>
                <w:rFonts w:ascii="宋体" w:hAnsi="宋体" w:eastAsia="宋体" w:cs="宋体"/>
              </w:rPr>
            </w:pPr>
            <w:r>
              <w:rPr>
                <w:rFonts w:hint="eastAsia" w:ascii="宋体" w:hAnsi="宋体" w:eastAsia="宋体" w:cs="宋体"/>
              </w:rPr>
              <w:t>女装设计</w:t>
            </w:r>
          </w:p>
        </w:tc>
        <w:tc>
          <w:tcPr>
            <w:tcW w:w="1200" w:type="dxa"/>
            <w:vAlign w:val="center"/>
          </w:tcPr>
          <w:p>
            <w:pPr>
              <w:jc w:val="center"/>
              <w:rPr>
                <w:rFonts w:ascii="宋体" w:hAnsi="宋体" w:eastAsia="宋体" w:cs="宋体"/>
              </w:rPr>
            </w:pPr>
            <w:r>
              <w:rPr>
                <w:rFonts w:hint="eastAsia" w:ascii="宋体" w:hAnsi="宋体" w:eastAsia="宋体" w:cs="宋体"/>
              </w:rPr>
              <w:t>2007年</w:t>
            </w:r>
          </w:p>
        </w:tc>
        <w:tc>
          <w:tcPr>
            <w:tcW w:w="1207" w:type="dxa"/>
            <w:vAlign w:val="center"/>
          </w:tcPr>
          <w:p>
            <w:pPr>
              <w:jc w:val="center"/>
              <w:rPr>
                <w:rFonts w:ascii="宋体" w:hAnsi="宋体" w:eastAsia="宋体" w:cs="宋体"/>
              </w:rPr>
            </w:pPr>
            <w:r>
              <w:rPr>
                <w:rFonts w:hint="eastAsia" w:ascii="宋体" w:hAnsi="宋体" w:eastAsia="宋体" w:cs="宋体"/>
              </w:rPr>
              <w:t>刘颖林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9</w:t>
            </w:r>
          </w:p>
        </w:tc>
        <w:tc>
          <w:tcPr>
            <w:tcW w:w="3137" w:type="dxa"/>
            <w:vAlign w:val="center"/>
          </w:tcPr>
          <w:p>
            <w:pPr>
              <w:jc w:val="center"/>
              <w:rPr>
                <w:rFonts w:ascii="宋体" w:hAnsi="宋体" w:eastAsia="宋体" w:cs="宋体"/>
              </w:rPr>
            </w:pPr>
            <w:r>
              <w:rPr>
                <w:rFonts w:hint="eastAsia" w:ascii="宋体" w:hAnsi="宋体" w:eastAsia="宋体" w:cs="宋体"/>
              </w:rPr>
              <w:t>土力学与工程地质</w:t>
            </w:r>
          </w:p>
        </w:tc>
        <w:tc>
          <w:tcPr>
            <w:tcW w:w="1200" w:type="dxa"/>
            <w:vAlign w:val="center"/>
          </w:tcPr>
          <w:p>
            <w:pPr>
              <w:jc w:val="center"/>
              <w:rPr>
                <w:rFonts w:ascii="宋体" w:hAnsi="宋体" w:eastAsia="宋体" w:cs="宋体"/>
              </w:rPr>
            </w:pPr>
            <w:r>
              <w:rPr>
                <w:rFonts w:hint="eastAsia" w:ascii="宋体" w:hAnsi="宋体" w:eastAsia="宋体" w:cs="宋体"/>
              </w:rPr>
              <w:t>2007年</w:t>
            </w:r>
          </w:p>
        </w:tc>
        <w:tc>
          <w:tcPr>
            <w:tcW w:w="1207" w:type="dxa"/>
            <w:vAlign w:val="center"/>
          </w:tcPr>
          <w:p>
            <w:pPr>
              <w:jc w:val="center"/>
              <w:rPr>
                <w:rFonts w:ascii="宋体" w:hAnsi="宋体" w:eastAsia="宋体" w:cs="宋体"/>
              </w:rPr>
            </w:pPr>
            <w:r>
              <w:rPr>
                <w:rFonts w:hint="eastAsia" w:ascii="宋体" w:hAnsi="宋体" w:eastAsia="宋体" w:cs="宋体"/>
              </w:rPr>
              <w:t>夏建中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10</w:t>
            </w:r>
          </w:p>
        </w:tc>
        <w:tc>
          <w:tcPr>
            <w:tcW w:w="3137" w:type="dxa"/>
            <w:vAlign w:val="center"/>
          </w:tcPr>
          <w:p>
            <w:pPr>
              <w:jc w:val="center"/>
              <w:rPr>
                <w:rFonts w:ascii="宋体" w:hAnsi="宋体" w:eastAsia="宋体" w:cs="宋体"/>
              </w:rPr>
            </w:pPr>
            <w:r>
              <w:rPr>
                <w:rFonts w:hint="eastAsia" w:ascii="宋体" w:hAnsi="宋体" w:eastAsia="宋体" w:cs="宋体"/>
              </w:rPr>
              <w:t>生产与运作管理</w:t>
            </w:r>
          </w:p>
        </w:tc>
        <w:tc>
          <w:tcPr>
            <w:tcW w:w="1200" w:type="dxa"/>
            <w:vAlign w:val="center"/>
          </w:tcPr>
          <w:p>
            <w:pPr>
              <w:jc w:val="center"/>
              <w:rPr>
                <w:rFonts w:ascii="宋体" w:hAnsi="宋体" w:eastAsia="宋体" w:cs="宋体"/>
              </w:rPr>
            </w:pPr>
            <w:r>
              <w:rPr>
                <w:rFonts w:hint="eastAsia" w:ascii="宋体" w:hAnsi="宋体" w:eastAsia="宋体" w:cs="宋体"/>
              </w:rPr>
              <w:t>2008年</w:t>
            </w:r>
          </w:p>
        </w:tc>
        <w:tc>
          <w:tcPr>
            <w:tcW w:w="1207" w:type="dxa"/>
            <w:vAlign w:val="center"/>
          </w:tcPr>
          <w:p>
            <w:pPr>
              <w:jc w:val="center"/>
              <w:rPr>
                <w:rFonts w:ascii="宋体" w:hAnsi="宋体" w:eastAsia="宋体" w:cs="宋体"/>
              </w:rPr>
            </w:pPr>
            <w:r>
              <w:rPr>
                <w:rFonts w:hint="eastAsia" w:ascii="宋体" w:hAnsi="宋体" w:eastAsia="宋体" w:cs="宋体"/>
              </w:rPr>
              <w:t>曹  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11</w:t>
            </w:r>
          </w:p>
        </w:tc>
        <w:tc>
          <w:tcPr>
            <w:tcW w:w="3137" w:type="dxa"/>
            <w:vAlign w:val="center"/>
          </w:tcPr>
          <w:p>
            <w:pPr>
              <w:jc w:val="center"/>
              <w:rPr>
                <w:rFonts w:ascii="宋体" w:hAnsi="宋体" w:eastAsia="宋体" w:cs="宋体"/>
              </w:rPr>
            </w:pPr>
            <w:r>
              <w:rPr>
                <w:rFonts w:hint="eastAsia" w:ascii="宋体" w:hAnsi="宋体" w:eastAsia="宋体" w:cs="宋体"/>
              </w:rPr>
              <w:t>计算机辅助教育</w:t>
            </w:r>
          </w:p>
        </w:tc>
        <w:tc>
          <w:tcPr>
            <w:tcW w:w="1200" w:type="dxa"/>
            <w:vAlign w:val="center"/>
          </w:tcPr>
          <w:p>
            <w:pPr>
              <w:jc w:val="center"/>
              <w:rPr>
                <w:rFonts w:ascii="宋体" w:hAnsi="宋体" w:eastAsia="宋体" w:cs="宋体"/>
              </w:rPr>
            </w:pPr>
            <w:r>
              <w:rPr>
                <w:rFonts w:hint="eastAsia" w:ascii="宋体" w:hAnsi="宋体" w:eastAsia="宋体" w:cs="宋体"/>
              </w:rPr>
              <w:t>2008年</w:t>
            </w:r>
          </w:p>
        </w:tc>
        <w:tc>
          <w:tcPr>
            <w:tcW w:w="1207" w:type="dxa"/>
            <w:vAlign w:val="center"/>
          </w:tcPr>
          <w:p>
            <w:pPr>
              <w:jc w:val="center"/>
              <w:rPr>
                <w:rFonts w:ascii="宋体" w:hAnsi="宋体" w:eastAsia="宋体" w:cs="宋体"/>
              </w:rPr>
            </w:pPr>
            <w:r>
              <w:rPr>
                <w:rFonts w:hint="eastAsia" w:ascii="宋体" w:hAnsi="宋体" w:eastAsia="宋体" w:cs="宋体"/>
              </w:rPr>
              <w:t>岑  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12</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离散数学</w:t>
            </w:r>
          </w:p>
        </w:tc>
        <w:tc>
          <w:tcPr>
            <w:tcW w:w="1200" w:type="dxa"/>
            <w:vAlign w:val="center"/>
          </w:tcPr>
          <w:p>
            <w:pPr>
              <w:jc w:val="center"/>
              <w:rPr>
                <w:rFonts w:ascii="宋体" w:hAnsi="宋体" w:eastAsia="宋体" w:cs="宋体"/>
              </w:rPr>
            </w:pPr>
            <w:r>
              <w:rPr>
                <w:rFonts w:hint="eastAsia" w:ascii="宋体" w:hAnsi="宋体" w:eastAsia="宋体" w:cs="宋体"/>
              </w:rPr>
              <w:t>2009年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叶绿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13</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大学物理</w:t>
            </w:r>
          </w:p>
        </w:tc>
        <w:tc>
          <w:tcPr>
            <w:tcW w:w="1200" w:type="dxa"/>
            <w:vAlign w:val="center"/>
          </w:tcPr>
          <w:p>
            <w:pPr>
              <w:jc w:val="center"/>
              <w:rPr>
                <w:rFonts w:ascii="宋体" w:hAnsi="宋体" w:eastAsia="宋体" w:cs="宋体"/>
              </w:rPr>
            </w:pPr>
            <w:r>
              <w:rPr>
                <w:rFonts w:hint="eastAsia" w:ascii="宋体" w:hAnsi="宋体" w:eastAsia="宋体" w:cs="宋体"/>
              </w:rPr>
              <w:t>2009年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王长荣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14</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西方经济学</w:t>
            </w:r>
          </w:p>
        </w:tc>
        <w:tc>
          <w:tcPr>
            <w:tcW w:w="1200" w:type="dxa"/>
            <w:vAlign w:val="center"/>
          </w:tcPr>
          <w:p>
            <w:pPr>
              <w:jc w:val="center"/>
              <w:rPr>
                <w:rFonts w:ascii="宋体" w:hAnsi="宋体" w:eastAsia="宋体" w:cs="宋体"/>
              </w:rPr>
            </w:pPr>
            <w:r>
              <w:rPr>
                <w:rFonts w:hint="eastAsia" w:ascii="宋体" w:hAnsi="宋体" w:eastAsia="宋体" w:cs="宋体"/>
              </w:rPr>
              <w:t>2009年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曹旭华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15</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管理信息系统</w:t>
            </w:r>
          </w:p>
        </w:tc>
        <w:tc>
          <w:tcPr>
            <w:tcW w:w="1200" w:type="dxa"/>
            <w:vAlign w:val="center"/>
          </w:tcPr>
          <w:p>
            <w:pPr>
              <w:jc w:val="center"/>
              <w:rPr>
                <w:rFonts w:ascii="宋体" w:hAnsi="宋体" w:eastAsia="宋体" w:cs="宋体"/>
              </w:rPr>
            </w:pPr>
            <w:r>
              <w:rPr>
                <w:rFonts w:hint="eastAsia" w:ascii="宋体" w:hAnsi="宋体" w:eastAsia="宋体" w:cs="宋体"/>
              </w:rPr>
              <w:t>2010年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史红霞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16</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“钢结构基本原理”和“建筑钢结构设计”（课程群）</w:t>
            </w:r>
          </w:p>
        </w:tc>
        <w:tc>
          <w:tcPr>
            <w:tcW w:w="1200" w:type="dxa"/>
            <w:vAlign w:val="center"/>
          </w:tcPr>
          <w:p>
            <w:pPr>
              <w:jc w:val="center"/>
              <w:rPr>
                <w:rFonts w:ascii="宋体" w:hAnsi="宋体" w:eastAsia="宋体" w:cs="宋体"/>
              </w:rPr>
            </w:pPr>
            <w:r>
              <w:rPr>
                <w:rFonts w:hint="eastAsia" w:ascii="宋体" w:hAnsi="宋体" w:eastAsia="宋体" w:cs="宋体"/>
              </w:rPr>
              <w:t>2010年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吴建华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17</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有机化学实验</w:t>
            </w:r>
          </w:p>
        </w:tc>
        <w:tc>
          <w:tcPr>
            <w:tcW w:w="1200" w:type="dxa"/>
            <w:vAlign w:val="center"/>
          </w:tcPr>
          <w:p>
            <w:pPr>
              <w:jc w:val="center"/>
              <w:rPr>
                <w:rFonts w:ascii="宋体" w:hAnsi="宋体" w:eastAsia="宋体" w:cs="宋体"/>
              </w:rPr>
            </w:pPr>
            <w:r>
              <w:rPr>
                <w:rFonts w:hint="eastAsia" w:ascii="宋体" w:hAnsi="宋体" w:eastAsia="宋体" w:cs="宋体"/>
              </w:rPr>
              <w:t>2010年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李菊清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18</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《论语》导读</w:t>
            </w:r>
          </w:p>
        </w:tc>
        <w:tc>
          <w:tcPr>
            <w:tcW w:w="1200" w:type="dxa"/>
            <w:vAlign w:val="center"/>
          </w:tcPr>
          <w:p>
            <w:pPr>
              <w:jc w:val="center"/>
              <w:rPr>
                <w:rFonts w:ascii="宋体" w:hAnsi="宋体" w:eastAsia="宋体" w:cs="宋体"/>
              </w:rPr>
            </w:pPr>
            <w:r>
              <w:rPr>
                <w:rFonts w:hint="eastAsia" w:ascii="宋体" w:hAnsi="宋体" w:eastAsia="宋体" w:cs="宋体"/>
              </w:rPr>
              <w:t>2010年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张嵎</w:t>
            </w:r>
          </w:p>
          <w:p>
            <w:pPr>
              <w:adjustRightInd w:val="0"/>
              <w:snapToGrid w:val="0"/>
              <w:spacing w:line="200" w:lineRule="atLeast"/>
              <w:jc w:val="center"/>
              <w:rPr>
                <w:rFonts w:ascii="宋体" w:hAnsi="宋体" w:eastAsia="宋体" w:cs="宋体"/>
              </w:rPr>
            </w:pPr>
            <w:r>
              <w:rPr>
                <w:rFonts w:hint="eastAsia" w:ascii="宋体" w:hAnsi="宋体" w:eastAsia="宋体" w:cs="宋体"/>
              </w:rPr>
              <w:t>（张涅）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19</w:t>
            </w:r>
          </w:p>
        </w:tc>
        <w:tc>
          <w:tcPr>
            <w:tcW w:w="313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组件软件开发</w:t>
            </w:r>
          </w:p>
        </w:tc>
        <w:tc>
          <w:tcPr>
            <w:tcW w:w="1200" w:type="dxa"/>
            <w:vAlign w:val="center"/>
          </w:tcPr>
          <w:p>
            <w:pPr>
              <w:jc w:val="center"/>
              <w:rPr>
                <w:rFonts w:ascii="宋体" w:hAnsi="宋体" w:eastAsia="宋体" w:cs="宋体"/>
              </w:rPr>
            </w:pPr>
            <w:r>
              <w:rPr>
                <w:rFonts w:hint="eastAsia" w:ascii="宋体" w:hAnsi="宋体" w:eastAsia="宋体" w:cs="宋体"/>
              </w:rPr>
              <w:t>2010年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向坚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20</w:t>
            </w:r>
          </w:p>
        </w:tc>
        <w:tc>
          <w:tcPr>
            <w:tcW w:w="3137" w:type="dxa"/>
            <w:vAlign w:val="center"/>
          </w:tcPr>
          <w:p>
            <w:pPr>
              <w:adjustRightInd w:val="0"/>
              <w:snapToGrid w:val="0"/>
              <w:spacing w:line="200" w:lineRule="atLeast"/>
              <w:ind w:firstLine="720" w:firstLineChars="300"/>
              <w:rPr>
                <w:rFonts w:ascii="宋体" w:hAnsi="宋体" w:eastAsia="宋体" w:cs="宋体"/>
              </w:rPr>
            </w:pPr>
            <w:r>
              <w:rPr>
                <w:rFonts w:hint="eastAsia" w:ascii="宋体" w:hAnsi="宋体" w:eastAsia="宋体" w:cs="宋体"/>
              </w:rPr>
              <w:t>物理化学</w:t>
            </w:r>
          </w:p>
        </w:tc>
        <w:tc>
          <w:tcPr>
            <w:tcW w:w="1200" w:type="dxa"/>
            <w:vAlign w:val="center"/>
          </w:tcPr>
          <w:p>
            <w:pPr>
              <w:jc w:val="center"/>
              <w:rPr>
                <w:rFonts w:ascii="宋体" w:hAnsi="宋体" w:eastAsia="宋体" w:cs="宋体"/>
              </w:rPr>
            </w:pPr>
            <w:r>
              <w:rPr>
                <w:rFonts w:hint="eastAsia" w:ascii="宋体" w:hAnsi="宋体" w:eastAsia="宋体" w:cs="宋体"/>
              </w:rPr>
              <w:t>2016年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张立庆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6" w:type="dxa"/>
            <w:vAlign w:val="center"/>
          </w:tcPr>
          <w:p>
            <w:pPr>
              <w:jc w:val="center"/>
              <w:rPr>
                <w:rFonts w:ascii="宋体" w:hAnsi="宋体" w:eastAsia="宋体" w:cs="宋体"/>
              </w:rPr>
            </w:pPr>
            <w:r>
              <w:rPr>
                <w:rFonts w:hint="eastAsia" w:ascii="宋体" w:hAnsi="宋体" w:eastAsia="宋体" w:cs="宋体"/>
              </w:rPr>
              <w:t>21</w:t>
            </w:r>
          </w:p>
        </w:tc>
        <w:tc>
          <w:tcPr>
            <w:tcW w:w="3137" w:type="dxa"/>
            <w:vAlign w:val="center"/>
          </w:tcPr>
          <w:p>
            <w:pPr>
              <w:adjustRightInd w:val="0"/>
              <w:snapToGrid w:val="0"/>
              <w:spacing w:line="200" w:lineRule="atLeast"/>
              <w:ind w:firstLine="720" w:firstLineChars="300"/>
              <w:rPr>
                <w:rFonts w:ascii="宋体" w:hAnsi="宋体" w:eastAsia="宋体" w:cs="宋体"/>
              </w:rPr>
            </w:pPr>
            <w:r>
              <w:rPr>
                <w:rFonts w:hint="eastAsia" w:ascii="宋体" w:hAnsi="宋体" w:eastAsia="宋体" w:cs="宋体"/>
              </w:rPr>
              <w:t>机械制图</w:t>
            </w:r>
          </w:p>
        </w:tc>
        <w:tc>
          <w:tcPr>
            <w:tcW w:w="1200" w:type="dxa"/>
            <w:vAlign w:val="center"/>
          </w:tcPr>
          <w:p>
            <w:pPr>
              <w:jc w:val="center"/>
              <w:rPr>
                <w:rFonts w:ascii="宋体" w:hAnsi="宋体" w:eastAsia="宋体" w:cs="宋体"/>
              </w:rPr>
            </w:pPr>
            <w:r>
              <w:rPr>
                <w:rFonts w:hint="eastAsia" w:ascii="宋体" w:hAnsi="宋体" w:eastAsia="宋体" w:cs="宋体"/>
              </w:rPr>
              <w:t>2016年</w:t>
            </w:r>
          </w:p>
        </w:tc>
        <w:tc>
          <w:tcPr>
            <w:tcW w:w="1207" w:type="dxa"/>
            <w:vAlign w:val="center"/>
          </w:tcPr>
          <w:p>
            <w:pPr>
              <w:adjustRightInd w:val="0"/>
              <w:snapToGrid w:val="0"/>
              <w:spacing w:line="200" w:lineRule="atLeast"/>
              <w:jc w:val="center"/>
              <w:rPr>
                <w:rFonts w:ascii="宋体" w:hAnsi="宋体" w:eastAsia="宋体" w:cs="宋体"/>
              </w:rPr>
            </w:pPr>
            <w:r>
              <w:rPr>
                <w:rFonts w:hint="eastAsia" w:ascii="宋体" w:hAnsi="宋体" w:eastAsia="宋体" w:cs="宋体"/>
              </w:rPr>
              <w:t>邹凤楼</w:t>
            </w:r>
          </w:p>
        </w:tc>
      </w:tr>
    </w:tbl>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18.我校校区建设状况如何？</w:t>
      </w:r>
    </w:p>
    <w:p>
      <w:pPr>
        <w:adjustRightInd w:val="0"/>
        <w:snapToGrid w:val="0"/>
        <w:spacing w:line="360" w:lineRule="auto"/>
        <w:rPr>
          <w:rFonts w:ascii="宋体" w:hAnsi="宋体" w:cs="宋体"/>
          <w:bCs/>
          <w:kern w:val="0"/>
        </w:rPr>
      </w:pPr>
      <w:r>
        <w:rPr>
          <w:rFonts w:hint="eastAsia" w:ascii="宋体" w:hAnsi="宋体" w:cs="宋体"/>
          <w:bCs/>
          <w:kern w:val="0"/>
        </w:rPr>
        <w:t xml:space="preserve">    学校现有小和山、安吉2个校区。小和山校区位于素有人间天堂的历史文化名城杭州市，校园土地面积1300余亩，建筑面积47万平方米；安吉校区位于拥有联合国人居奖美誉的竹乡安吉，一期土地面积500亩，建筑面积16.5万平方米。校园环境自然优美，山明水秀，湖光鹭影，中共中央政治局常委、全国人大常委会委员长张德江曾赞叹“真山真水真是读书的好地方”。</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19.我校教室建设情况如何？</w:t>
      </w:r>
    </w:p>
    <w:p>
      <w:pPr>
        <w:adjustRightInd w:val="0"/>
        <w:snapToGrid w:val="0"/>
        <w:spacing w:line="360" w:lineRule="auto"/>
        <w:ind w:firstLine="720" w:firstLineChars="300"/>
        <w:rPr>
          <w:rFonts w:asciiTheme="minorEastAsia" w:hAnsiTheme="minorEastAsia"/>
          <w:b/>
          <w:sz w:val="28"/>
          <w:szCs w:val="28"/>
          <w:highlight w:val="green"/>
        </w:rPr>
      </w:pPr>
      <w:r>
        <w:rPr>
          <w:rFonts w:hint="eastAsia" w:ascii="宋体" w:hAnsi="宋体" w:cs="宋体"/>
          <w:bCs/>
          <w:kern w:val="0"/>
        </w:rPr>
        <w:t>学校现有各类教室377间，其中多媒体教室289间，语音教室32间，智慧教室6间，专用教室（含音乐、美术、录播教室等）72间，座位数共计26825个。</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20.我校图书馆建设状况如何？</w:t>
      </w:r>
    </w:p>
    <w:p>
      <w:pPr>
        <w:spacing w:before="163" w:beforeLines="50" w:after="163" w:afterLines="50" w:line="400" w:lineRule="exact"/>
        <w:ind w:left="480" w:leftChars="200"/>
        <w:rPr>
          <w:rFonts w:ascii="宋体" w:hAnsi="宋体" w:cs="宋体"/>
          <w:lang w:val="zh-TW" w:eastAsia="zh-TW"/>
        </w:rPr>
      </w:pPr>
      <w:r>
        <w:rPr>
          <w:rFonts w:hint="eastAsia" w:ascii="宋体" w:hAnsi="宋体" w:cs="宋体"/>
          <w:lang w:val="zh-TW" w:eastAsia="zh-TW"/>
        </w:rPr>
        <w:t>截止2016年底，学校纸质文献资源累积达到148万册，电子图书累积量达336.7万种。</w:t>
      </w:r>
    </w:p>
    <w:p>
      <w:pPr>
        <w:spacing w:before="163" w:beforeLines="50" w:after="163" w:afterLines="50" w:line="400" w:lineRule="exact"/>
        <w:rPr>
          <w:rFonts w:asciiTheme="minorEastAsia" w:hAnsiTheme="minorEastAsia"/>
          <w:b/>
          <w:sz w:val="28"/>
          <w:szCs w:val="28"/>
        </w:rPr>
      </w:pPr>
      <w:r>
        <w:rPr>
          <w:rFonts w:hint="eastAsia" w:ascii="宋体" w:hAnsi="宋体" w:cs="宋体"/>
          <w:lang w:val="zh-TW" w:eastAsia="zh-TW"/>
        </w:rPr>
        <w:t>中外文纸质期刊1184种，电子期刊23700种。拥有中文库20个，外文库8个，自建数据库3个，共31个数据库，</w:t>
      </w:r>
      <w:r>
        <w:rPr>
          <w:rFonts w:hint="eastAsia" w:ascii="宋体" w:hAnsi="宋体" w:cs="宋体"/>
          <w:lang w:val="zh-TW"/>
        </w:rPr>
        <w:t>已配备</w:t>
      </w:r>
      <w:r>
        <w:rPr>
          <w:rFonts w:hint="eastAsia" w:ascii="宋体" w:hAnsi="宋体" w:cs="宋体"/>
          <w:lang w:val="zh-TW" w:eastAsia="zh-TW"/>
        </w:rPr>
        <w:t>Elsevier Science Direct分学科全文数据库、Web of Science(SCIE&amp;JCR)数据库、SLCC电子期刊数据库、Springer电子图书、同方知网中国知识资源总库、中国学术会议论文全文数据库、联图书目信息拓展服务数据库、博图外文电子图书、新东方多媒体数据库、标准文献电子阅览室数据库、读秀知识库、EPS数据库等数字资源库</w:t>
      </w:r>
      <w:r>
        <w:rPr>
          <w:rFonts w:hint="eastAsia" w:ascii="宋体" w:hAnsi="宋体" w:cs="宋体"/>
          <w:lang w:val="zh-TW"/>
        </w:rPr>
        <w:t>。</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21．我校网络化教学建设环境成效如何？</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校园网基础设施基本建设完成。</w:t>
      </w:r>
      <w:r>
        <w:rPr>
          <w:rFonts w:hint="eastAsia" w:ascii="宋体" w:hAnsi="宋体" w:cs="宋体"/>
          <w:kern w:val="0"/>
        </w:rPr>
        <w:t>信息门户、统一身份认证、共享数据库三大基础平台已集成网络教学系统、办公OA系统、教务管理系统、学生管理系统、财务管理系统、人事管理系统、教学业绩管理系统、一卡通系统、图书管理系统、资产管理系统、科研管理系统、研究生管理系统等10余个业务系统，实现了统一认证和数据交换，共享数据库已有5000万条数据，信息门户用户数4.57万，邮件系统账户数量2.28万个。</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22．我校体育设施建设情况如何？</w:t>
      </w:r>
    </w:p>
    <w:p>
      <w:pPr>
        <w:spacing w:before="163" w:beforeLines="50" w:after="163" w:afterLines="50" w:line="400" w:lineRule="exact"/>
        <w:ind w:firstLine="480" w:firstLineChars="200"/>
        <w:rPr>
          <w:rFonts w:asciiTheme="minorEastAsia" w:hAnsiTheme="minorEastAsia"/>
          <w:highlight w:val="green"/>
        </w:rPr>
      </w:pPr>
      <w:r>
        <w:rPr>
          <w:rFonts w:hint="eastAsia" w:asciiTheme="minorEastAsia" w:hAnsiTheme="minorEastAsia"/>
        </w:rPr>
        <w:t>学校体育设施齐全，</w:t>
      </w:r>
      <w:r>
        <w:rPr>
          <w:rFonts w:hint="eastAsia" w:ascii="宋体" w:hAnsi="宋体" w:cs="宋体"/>
          <w:kern w:val="0"/>
        </w:rPr>
        <w:t>学校两校区均拥有标准足球场、篮球场、排球场、网球场等运动场地，各种体育场地面积共计100000平方米，</w:t>
      </w:r>
      <w:r>
        <w:rPr>
          <w:rFonts w:hint="eastAsia" w:asciiTheme="minorEastAsia" w:hAnsiTheme="minorEastAsia"/>
        </w:rPr>
        <w:t>为教学提供了充分的保障。</w:t>
      </w:r>
    </w:p>
    <w:p>
      <w:pPr>
        <w:numPr>
          <w:ilvl w:val="0"/>
          <w:numId w:val="1"/>
        </w:num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我校学生体质健康合格率为多少？</w:t>
      </w:r>
    </w:p>
    <w:p>
      <w:pPr>
        <w:widowControl/>
        <w:ind w:firstLine="240" w:firstLineChars="100"/>
        <w:jc w:val="left"/>
        <w:rPr>
          <w:rFonts w:asciiTheme="minorEastAsia" w:hAnsiTheme="minorEastAsia"/>
          <w:b/>
          <w:sz w:val="28"/>
          <w:szCs w:val="28"/>
          <w:highlight w:val="green"/>
        </w:rPr>
      </w:pPr>
      <w:r>
        <w:rPr>
          <w:rFonts w:hint="eastAsia" w:ascii="宋体" w:hAnsi="宋体" w:eastAsia="宋体" w:cs="宋体"/>
          <w:kern w:val="0"/>
        </w:rPr>
        <w:t xml:space="preserve">  我校学生</w:t>
      </w:r>
      <w:r>
        <w:rPr>
          <w:rFonts w:ascii="宋体" w:hAnsi="宋体" w:eastAsia="宋体" w:cs="宋体"/>
          <w:kern w:val="0"/>
        </w:rPr>
        <w:t>近三年体测合格率：2015年96.3%</w:t>
      </w:r>
      <w:r>
        <w:rPr>
          <w:rFonts w:hint="eastAsia" w:ascii="宋体" w:hAnsi="宋体" w:eastAsia="宋体" w:cs="宋体"/>
          <w:kern w:val="0"/>
        </w:rPr>
        <w:t>，</w:t>
      </w:r>
      <w:r>
        <w:rPr>
          <w:rFonts w:ascii="宋体" w:hAnsi="宋体" w:eastAsia="宋体" w:cs="宋体"/>
          <w:kern w:val="0"/>
        </w:rPr>
        <w:t>2016年95.52%</w:t>
      </w:r>
      <w:r>
        <w:rPr>
          <w:rFonts w:hint="eastAsia" w:ascii="宋体" w:hAnsi="宋体" w:eastAsia="宋体" w:cs="宋体"/>
          <w:kern w:val="0"/>
        </w:rPr>
        <w:t>，</w:t>
      </w:r>
      <w:r>
        <w:rPr>
          <w:rFonts w:ascii="宋体" w:hAnsi="宋体" w:eastAsia="宋体" w:cs="宋体"/>
          <w:kern w:val="0"/>
        </w:rPr>
        <w:t>2017年90.93%</w:t>
      </w:r>
      <w:r>
        <w:rPr>
          <w:rFonts w:hint="eastAsia" w:ascii="宋体" w:hAnsi="宋体" w:eastAsia="宋体" w:cs="宋体"/>
          <w:kern w:val="0"/>
        </w:rPr>
        <w:t>。</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24.我校毕业生的就业情况如何？</w:t>
      </w:r>
    </w:p>
    <w:p>
      <w:pPr>
        <w:spacing w:before="163" w:beforeLines="50" w:after="163" w:afterLines="50" w:line="400" w:lineRule="exact"/>
        <w:ind w:left="480" w:leftChars="200"/>
        <w:rPr>
          <w:rFonts w:ascii="宋体" w:hAnsi="宋体" w:cs="宋体"/>
          <w:kern w:val="0"/>
        </w:rPr>
      </w:pPr>
      <w:r>
        <w:rPr>
          <w:rFonts w:hint="eastAsia" w:ascii="宋体" w:hAnsi="宋体" w:cs="宋体"/>
          <w:kern w:val="0"/>
        </w:rPr>
        <w:t>按照省教育厅统计口径，截止2017年8月31日，我校毕业生签约率为95.33％,毕业生</w:t>
      </w:r>
    </w:p>
    <w:p>
      <w:pPr>
        <w:spacing w:before="163" w:beforeLines="50" w:after="163" w:afterLines="50" w:line="400" w:lineRule="exact"/>
        <w:rPr>
          <w:rFonts w:asciiTheme="minorEastAsia" w:hAnsiTheme="minorEastAsia"/>
          <w:b/>
          <w:sz w:val="28"/>
          <w:szCs w:val="28"/>
        </w:rPr>
      </w:pPr>
      <w:r>
        <w:rPr>
          <w:rFonts w:hint="eastAsia" w:ascii="宋体" w:hAnsi="宋体" w:cs="宋体"/>
          <w:kern w:val="0"/>
        </w:rPr>
        <w:t>初次就业率达到96.83％。</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25.我校学生参加科技活动获奖情况如何？</w:t>
      </w:r>
    </w:p>
    <w:p>
      <w:pPr>
        <w:spacing w:before="163" w:beforeLines="50" w:after="163" w:afterLines="50" w:line="400" w:lineRule="exact"/>
        <w:ind w:firstLine="420"/>
        <w:rPr>
          <w:rFonts w:asciiTheme="minorEastAsia" w:hAnsiTheme="minorEastAsia"/>
        </w:rPr>
      </w:pPr>
      <w:r>
        <w:rPr>
          <w:rFonts w:asciiTheme="minorEastAsia" w:hAnsiTheme="minorEastAsia"/>
        </w:rPr>
        <w:t>近年来，我校</w:t>
      </w:r>
      <w:r>
        <w:rPr>
          <w:rFonts w:hint="eastAsia" w:asciiTheme="minorEastAsia" w:hAnsiTheme="minorEastAsia"/>
        </w:rPr>
        <w:t>每年精心组织参加</w:t>
      </w:r>
      <w:r>
        <w:rPr>
          <w:rFonts w:hint="eastAsia" w:ascii="宋体" w:hAnsi="宋体" w:cs="宋体"/>
          <w:kern w:val="0"/>
        </w:rPr>
        <w:t>国家教育部</w:t>
      </w:r>
      <w:r>
        <w:rPr>
          <w:rFonts w:hint="eastAsia" w:asciiTheme="minorEastAsia" w:hAnsiTheme="minorEastAsia"/>
        </w:rPr>
        <w:t>、相关部委及省教育厅举办的</w:t>
      </w:r>
      <w:r>
        <w:rPr>
          <w:rFonts w:asciiTheme="minorEastAsia" w:hAnsiTheme="minorEastAsia"/>
        </w:rPr>
        <w:t>A类科技竞赛26项左右</w:t>
      </w:r>
      <w:r>
        <w:rPr>
          <w:rFonts w:hint="eastAsia" w:asciiTheme="minorEastAsia" w:hAnsiTheme="minorEastAsia"/>
        </w:rPr>
        <w:t>（其中，国家级竞赛</w:t>
      </w:r>
      <w:r>
        <w:rPr>
          <w:rFonts w:asciiTheme="minorEastAsia" w:hAnsiTheme="minorEastAsia"/>
        </w:rPr>
        <w:t>10项</w:t>
      </w:r>
      <w:r>
        <w:rPr>
          <w:rFonts w:hint="eastAsia" w:asciiTheme="minorEastAsia" w:hAnsiTheme="minorEastAsia"/>
        </w:rPr>
        <w:t>左右），</w:t>
      </w:r>
      <w:r>
        <w:rPr>
          <w:rFonts w:hint="eastAsia" w:ascii="宋体" w:hAnsi="宋体"/>
        </w:rPr>
        <w:t>全国、省级学术团体及行业组织的科技竞赛项目</w:t>
      </w:r>
      <w:r>
        <w:rPr>
          <w:rFonts w:ascii="宋体" w:hAnsi="宋体"/>
        </w:rPr>
        <w:t>50</w:t>
      </w:r>
      <w:r>
        <w:rPr>
          <w:rFonts w:hint="eastAsia" w:ascii="宋体" w:hAnsi="宋体"/>
        </w:rPr>
        <w:t>-60项，参加</w:t>
      </w:r>
      <w:r>
        <w:rPr>
          <w:rFonts w:hint="eastAsia" w:asciiTheme="minorEastAsia" w:hAnsiTheme="minorEastAsia"/>
        </w:rPr>
        <w:t>校级及以上各类竞赛学生近</w:t>
      </w:r>
      <w:r>
        <w:rPr>
          <w:rFonts w:asciiTheme="minorEastAsia" w:hAnsiTheme="minorEastAsia"/>
        </w:rPr>
        <w:t>1万人次</w:t>
      </w:r>
      <w:r>
        <w:rPr>
          <w:rFonts w:hint="eastAsia" w:asciiTheme="minorEastAsia" w:hAnsiTheme="minorEastAsia"/>
        </w:rPr>
        <w:t>，获得省级奖项为</w:t>
      </w:r>
      <w:r>
        <w:rPr>
          <w:rFonts w:asciiTheme="minorEastAsia" w:hAnsiTheme="minorEastAsia"/>
        </w:rPr>
        <w:t>1200</w:t>
      </w:r>
      <w:r>
        <w:rPr>
          <w:rFonts w:hint="eastAsia" w:asciiTheme="minorEastAsia" w:hAnsiTheme="minorEastAsia"/>
        </w:rPr>
        <w:t>人次左右。荣获“挑战杯”全国创业大赛金奖（2014年）、全国电子商务竞赛一等奖、特等奖（2014年、2015年）、全国智能汽车大赛一等奖（2016年）、全国电子设计大赛一等奖、全国服务外包大赛一等奖（2017年）等一大批国家级、省级</w:t>
      </w:r>
      <w:r>
        <w:rPr>
          <w:rFonts w:asciiTheme="minorEastAsia" w:hAnsiTheme="minorEastAsia"/>
        </w:rPr>
        <w:t>A</w:t>
      </w:r>
      <w:r>
        <w:rPr>
          <w:rFonts w:hint="eastAsia" w:asciiTheme="minorEastAsia" w:hAnsiTheme="minorEastAsia"/>
        </w:rPr>
        <w:t>类科技竞赛奖项，同时，全力组织承办省电子设计大赛（</w:t>
      </w:r>
      <w:r>
        <w:rPr>
          <w:rFonts w:asciiTheme="minorEastAsia" w:hAnsiTheme="minorEastAsia"/>
        </w:rPr>
        <w:t>201</w:t>
      </w:r>
      <w:r>
        <w:rPr>
          <w:rFonts w:hint="eastAsia" w:asciiTheme="minorEastAsia" w:hAnsiTheme="minorEastAsia"/>
        </w:rPr>
        <w:t>4年）、中国机器人旅游类选拔赛（2015年），全国智能汽车浙江赛区选拔赛、省物理科技创新竞赛，省统计调查方案设计大赛（2016年）；省机器人竞赛（2017年）等全国、省级科技竞赛并取得优异成绩。</w:t>
      </w:r>
    </w:p>
    <w:p>
      <w:pPr>
        <w:spacing w:before="163" w:beforeLines="50" w:after="163" w:afterLines="50" w:line="400" w:lineRule="exact"/>
        <w:ind w:firstLine="420"/>
        <w:rPr>
          <w:b/>
          <w:sz w:val="32"/>
          <w:szCs w:val="32"/>
        </w:rPr>
      </w:pPr>
      <w:r>
        <w:rPr>
          <w:rFonts w:hint="eastAsia" w:asciiTheme="minorEastAsia" w:hAnsiTheme="minorEastAsia"/>
        </w:rPr>
        <w:t>据中国高等教育学会最新公布《2012-2016年全国普通高校竞赛评估结果》（以19项国家级</w:t>
      </w:r>
      <w:r>
        <w:rPr>
          <w:rFonts w:hint="eastAsia" w:ascii="宋体" w:hAnsi="宋体" w:cs="宋体"/>
          <w:lang w:val="zh-TW" w:eastAsia="zh-TW"/>
        </w:rPr>
        <w:t>竞赛</w:t>
      </w:r>
      <w:r>
        <w:rPr>
          <w:rFonts w:hint="eastAsia" w:asciiTheme="minorEastAsia" w:hAnsiTheme="minorEastAsia"/>
        </w:rPr>
        <w:t>为样本），我校名列205位，在全国“学院”层次高校中名列13位；全省高校中排名12位，在全省“学院”层次高校中名列首位。但与“大学”层次高校竞赛成绩还有一定距离。（我校在2017年中国大学</w:t>
      </w:r>
      <w:r>
        <w:rPr>
          <w:rFonts w:hint="eastAsia" w:ascii="宋体" w:hAnsi="宋体" w:cs="宋体"/>
          <w:kern w:val="0"/>
        </w:rPr>
        <w:t>排行</w:t>
      </w:r>
      <w:r>
        <w:rPr>
          <w:rFonts w:hint="eastAsia" w:asciiTheme="minorEastAsia" w:hAnsiTheme="minorEastAsia"/>
        </w:rPr>
        <w:t>榜</w:t>
      </w:r>
      <w:r>
        <w:rPr>
          <w:rFonts w:hint="eastAsia" w:ascii="宋体" w:hAnsi="宋体" w:cs="宋体"/>
          <w:kern w:val="0"/>
        </w:rPr>
        <w:t>综合</w:t>
      </w:r>
      <w:r>
        <w:rPr>
          <w:rFonts w:hint="eastAsia" w:asciiTheme="minorEastAsia" w:hAnsiTheme="minorEastAsia"/>
        </w:rPr>
        <w:t>排名：软科251名、校友会337名、武书连380名、武大391名。</w:t>
      </w:r>
    </w:p>
    <w:p>
      <w:pPr>
        <w:spacing w:before="163" w:beforeLines="50" w:after="163" w:afterLines="50" w:line="400" w:lineRule="exact"/>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spacing w:before="163" w:beforeLines="50" w:after="163" w:afterLines="50" w:line="400" w:lineRule="exact"/>
        <w:ind w:firstLine="643" w:firstLineChars="200"/>
        <w:jc w:val="center"/>
        <w:rPr>
          <w:b/>
          <w:sz w:val="32"/>
          <w:szCs w:val="32"/>
        </w:rPr>
      </w:pPr>
    </w:p>
    <w:p>
      <w:pPr>
        <w:widowControl/>
        <w:jc w:val="left"/>
        <w:rPr>
          <w:b/>
          <w:sz w:val="32"/>
          <w:szCs w:val="32"/>
        </w:rPr>
      </w:pPr>
      <w:r>
        <w:rPr>
          <w:b/>
          <w:sz w:val="32"/>
          <w:szCs w:val="32"/>
        </w:rPr>
        <w:br w:type="page"/>
      </w:r>
    </w:p>
    <w:p>
      <w:pPr>
        <w:spacing w:before="163" w:beforeLines="50" w:after="163" w:afterLines="50" w:line="400" w:lineRule="exact"/>
        <w:ind w:firstLine="3534" w:firstLineChars="1100"/>
        <w:rPr>
          <w:b/>
          <w:sz w:val="32"/>
          <w:szCs w:val="32"/>
        </w:rPr>
      </w:pPr>
      <w:r>
        <w:rPr>
          <w:rFonts w:hint="eastAsia"/>
          <w:b/>
          <w:sz w:val="32"/>
          <w:szCs w:val="32"/>
        </w:rPr>
        <w:t>第三部分 评建工作（教师篇）</w:t>
      </w:r>
    </w:p>
    <w:p>
      <w:pPr>
        <w:spacing w:before="163" w:beforeLines="50" w:after="163" w:afterLines="50" w:line="400" w:lineRule="exact"/>
        <w:ind w:firstLine="480" w:firstLineChars="200"/>
        <w:rPr>
          <w:rFonts w:asciiTheme="minorEastAsia" w:hAnsiTheme="minorEastAsia"/>
        </w:rPr>
      </w:pP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1.学校何时接受教育部本科教学工作审核评估？</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学校将于2018年5月27 日—5月31 日接受教育部对学校本科教学工作审核评估。</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 学校的评建工作分为哪几个阶段？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动员部署阶段、自查自建阶段、自评阶段、自我完善阶段、专家现场考察阶段、整改与总结提高阶段。</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3.职能部门在审核评估过程中的主要工作是什么？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按照要求，完成审核评估数据库的填报工作，提供必要的支撑材料，并做好接受专家深度访谈和部门汇报的准备。在专家进校之后，确保能够向专家提供一切与本单位相关的材料，确定本单位审核评估联络人，保证24小时联络畅通。</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4.学院在审核评估过程中的主要工作是什么？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协助各部门完成审核评估数据库的填报工作和学院（系、部）自评报告的写作，提供必要的支撑材料，认真思考本学院（系、部）在本科教学和人才培养方面的突出亮点及育人效果，做好专家走访时的汇报准备工作。在专家进校之后，确保能够向专家提供一切与本单位相关的材料，确定本单位审核评估联络人，保证24小时联络畅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做好常规的教学工作和管理工作，严格遵守教学和管理规章制度，加强学生学风建设和管理，确保教师和学生都能以饱满的热情和高昂的精神状态参与到审核评估之中。</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5.教师在评估工作中应该怎么做？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（1）要认真学习评估工作文件，深入了解本科教学工作审核评估的方针、目的、意义和具体要求，用评估标准规范教学行为、指导教学工作，按照学校的统一部署，高质量地做好评建工作。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（2）要严格按照学校教学规范要求，严把教学质量，认真做好日常各项教学工作。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（3）认真总结本人近年来的教学工作，按时提供有关评估工作所需要的基础材料。</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（4）要准备随时参加评估专家组指定的有关问卷调查和组织召开的座谈会等活动，并在各项活动中发扬实事求是和爱校荣校精神。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（5）每位教师都应做好迎接专家听课的准备。要严格按照评价指标体系的要求，切实加强课堂教学。</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6.行政管理人员在评估工作中应该怎么做？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（1）规范管理，热情服务，尽职尽责，做好本职工作。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（2）按照学校和所在部门的要求，及时提供各种评估所需的材料。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（3）参加有关评估工作的活动、会议应该提前到场，不迟到，不早退，严格遵守纪律。</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7.教学辅助人员在评估工作中应该怎么做？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（1）做好本职工作，为师生和教学工作提高优质服务,根据教学和评估工作的需要，适时增加服务时间。</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（2）按照学校和所在单位的要求，搜集和整理评估所需材料。 </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8.后勤服务人员在评估工作中应该怎么做？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做好本职工作，为师生员工的学习、生活和工作提供优质服务，整治好校园环境。在评估期间，为专家的工作和生活提供服务保障，为学校接受评估提供全面的后勤支持。</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9.教师与评估专家接触的场合一般有哪些？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（1）专家到教室听课。与教师的互动、对教师的评价。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（2）专家召开教师座谈会。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（3）个人访谈。专家根据学校提供的教师名单，随机抽取教师进行一对一访谈。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（4）校园公共场合与评估专家路遇。</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10.校领导、职能部门负责人访谈、座谈可能涉及的问题?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（1）个人分管工作的基本情况。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（2）分管工作与学校人才培养目标、定位的关系，分管工作规划中如何考虑对本科人才培养工作的支持。</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（3）分管工作相关数据，尤其是本科人才培养方面的数据。</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（4）对《本科教学审核评估自评报告》、《本科教学基本状态数据分析报告》中与分管工作相关的数据的研读和解释。</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（5）分管工作在支持人才培养方面的亮点。</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11.学院负责人访谈、座谈可能会涉及的问题?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（1）学院办学目标、办学类型、服务面向、办学层次、培养目标、“十三五”期间的工作主线。</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（2）学院的学院文化与办学特色。</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（3）学院在教师、学生、专业、课程、实验室等方面的基本数据。</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（4）学院现有专业情况，现有的专业机构、教师结构，现有的重点专业、特色专业、学科平台情况。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（5）学院人才培养工作的基本思路、特色、举措、效果，以及在学生成绩、教学成果、特色专业、教学改革与质量工程项目建设等方面的主要成绩。</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（6）学院人才培养与社会发展的相关性、与社会和企业合作、学生实践能力的培养、创新创业教育工作。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（7）学院科学发展与人才培养的相关性，学科发展与科研转化教学工作。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（8）学院本科人才培养面临的主要问题。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（9）学院预算中用于本科教学工作的资金比例、资金的主要流向、学生实习和实践资金主要用途等资金使用情况。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（10）学院现有的组织体系，学院教学质量保障体系及质量监控措施，院长及各级组织在质量保障体系中的职责。</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（11）学院在质量监控过程中发现的问题与对策。</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12.教学副院长、教学秘书访谈、座谈可能会涉及的问题？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（1）学院在教师、学生、专业、课程、实验室等方面的基本数据，培养方案的制定与实施情况。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（2）学院人才培养工作的基本思路、特色、举措、效果，以及在学生成绩、教学效果、特色专业、教学改革与质量工程项目建设等方面的主要成绩。</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（3）本单位教学工作的主要亮点、主要问题及对策分析。</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（4）对学校在本科教学管理方面提出的问题和建议。</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（5）本人在质量保障体系中的职责，工作中采取的质量监控措施。</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（6）学院在质量监控过程中发现的问题与对策。</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13.教师访谈、座谈可能会涉及的问题?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（1）承担的课程情况，如何通过课程教学培养学生相关的知识、能力、素质，如何将专业培养目标和毕业要求落实在教学大纲、教学模式、日常指导、考核方法等方面的日常教学活动中。</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（2）采用的主要教学方法，进行的探索与创新，实施教学改革的成效和问题。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（3）是否经常参加教研室活动，在教研室活动中的收获。</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（4）参与制定专业培养方案和课程教学大纲的情况。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（5）你是否有在职进修、提升学历及国内外学术交流等方面经历。</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（6）指导学生完成毕业设计（论文）的情况。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（7）如何理解教书育人，如何将教书育人融入教育教学工作。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（8）你是否参与了学生指导工作? 在日常工作中如何指导和帮助学生成长成才。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（9）对学校加强师德师风建设有什么意见和建议。</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（10）本人的主要科研方向，如何实现科研转化教学。</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（11）你对学校、学院的本科教育教学工作有什么的意见。</w:t>
      </w:r>
    </w:p>
    <w:p>
      <w:pPr>
        <w:widowControl/>
        <w:jc w:val="left"/>
        <w:rPr>
          <w:rFonts w:asciiTheme="minorEastAsia" w:hAnsiTheme="minorEastAsia"/>
        </w:rPr>
      </w:pPr>
      <w:r>
        <w:rPr>
          <w:rFonts w:asciiTheme="minorEastAsia" w:hAnsiTheme="minorEastAsia"/>
        </w:rPr>
        <w:br w:type="page"/>
      </w:r>
    </w:p>
    <w:p>
      <w:pPr>
        <w:spacing w:before="163" w:beforeLines="50" w:after="163" w:afterLines="50" w:line="400" w:lineRule="exact"/>
        <w:ind w:firstLine="643" w:firstLineChars="200"/>
        <w:jc w:val="center"/>
        <w:rPr>
          <w:b/>
          <w:sz w:val="32"/>
          <w:szCs w:val="32"/>
        </w:rPr>
      </w:pPr>
      <w:r>
        <w:rPr>
          <w:rFonts w:hint="eastAsia"/>
          <w:b/>
          <w:sz w:val="32"/>
          <w:szCs w:val="32"/>
        </w:rPr>
        <w:t>第三部分 评建工作（学生篇）</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1.学校何时接受教育部本科教学工作审核评估？</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学校将于2018年5月27日—5月31日接受教育部对学校本科教学工作审核评估。</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2. 学校的评建工作分为哪几个阶段？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动员部署阶段、自查自建阶段、自评阶段、自我完善阶段、专家现场考察阶段、整改与总结提高阶段。</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3.为什么说学生是教学评估的最大受益者？</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科教学工作审核评估的出发点是以学生为本，以提高教育教学质量为落脚点。评估将给广大同学带来教学条件的改善，教学质量的提高，为教育教学创造一个良好的软件和硬件环境。同时，通过评估不但能使学校的教学工作再上一个新台阶，也能使学校的各项工作更上一层楼。可以说，评建工作关系着每个同学的现在和未来，学生是本次本科教学工作审核评估的最大受益者。</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4.评估深度访谈的意义是什么？学生为什么要重视深度访谈?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深度访谈是评估专家在现场考察阶段用以采集信息、调查核实的主要方法，针对学校薄弱环节中的主要问题，与被访谈对象交谈与询问，达到探究原因及解决问题的目的。访谈质量将对评估结果产生直接而重要的影响。评估的出发点和最终落脚点是让被评学校通过评估提升人才培养质量，从而使学生能够真正受益。因此，深度访谈事关学生的切身利益，学生访谈是专家进行深度访谈的重要环节，学生应予以高度重视，以积极的态度和饱满的热情参与其中，并积极传播正能量。 </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5.在学生访谈中，专家可能关注的情况有哪些？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（1）学生对评估知识的了解情况。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（2）学生情况的了解，包括学习、生活、课外文化活动等方面情况。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（3）学生的学习条件 （含教室、图书馆、网络）等方面的情况。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（4）学生对学院的教学管理、学生管理、办学条件等方面的评价。</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（5）学生对所学专业培养方案、培养目标的了解情况。</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6.学生在评估工作中应该怎么做？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（1）要充分了解评估工作的目的、意义以及与自身的密切关系。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（2）要随时关注评建工作，以主人翁的姿态积极参与评建各项活动，以饱满的热情积极配合学校做好评估工作。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（3）要更加模范地遵守校规校纪，从各方面严格要求自己。</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（4）了解熟悉自己所学专业人才培养方案中人才培养目标，知识、能力、素质要求，课程体系与课程学分设置，毕业基本要求等。</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7.学生与评估专家接触的场合一般有哪些？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（1）专家到教室听课。与学生交谈、查看作业本、考察学生是否专心听课以及学生对教师的评价。</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（2）专家召开学生座谈会。征求学生对学校、学院的意见和建议，对专业建设、个人发展的看法，了解学生对学校教学资源的利用情况。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（3）专家到学生食堂吃饭或考察。了解学校后 勤和学生生活情况，察看学生饮食礼仪，如排队、餐具的回收等。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（4）专家察看学生晨读、晨练和早、晚自习情况。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（5）专家察看学生宿舍。了解学生卫生、用电、生活情况。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（6）专家到体育场馆察看学生体育活动情况。考察学生是否经常参加体育活动、群体性体育活动情况、学校的体育强项等。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（7）专家察看学生活动情况。了解学生社团活动、学校各类文体活动。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（8）校园公共场合与专家路遇。 </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8.学生在评估过程中应遵守的礼仪规范有哪些？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（1）行为文明、形象端庄。举止文明，穿着大方得体；学习场所无抽烟、乱扔垃圾、大声喧哗、打闹等；出入楼门、上下电梯文明礼让；就餐自觉排队，无铺张浪费现象。</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2）严格遵守课堂纪律。上课不迟到、不早退，不带餐点进教室；上课认真听讲，做好笔记；杜绝随意说话、打瞌睡、吃东西、接打电话、玩手机等行为；上下课应与教师互致问候。下课时，要请听课的专家先离开课室。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（3）保障良好的自习情况。无课的同学主动到自习教室、图书馆等区域自习，确保学习场所人员饱满；能自觉完成作业和其他课外学习任务。</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（4）在校园内遇见专家时要主动问好、文明礼让；专家在课堂、食堂、宿舍、图书馆等场合询问时要积极作答，参加座谈会时要积极发言。</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（5）努力打造“文明宿舍”，做到宿舍文明卫生、无杂物堆积、被服叠放整齐等。</w:t>
      </w:r>
    </w:p>
    <w:p>
      <w:pPr>
        <w:spacing w:before="163" w:beforeLines="50" w:after="163" w:afterLines="50" w:line="400" w:lineRule="exact"/>
        <w:ind w:firstLine="562" w:firstLineChars="200"/>
        <w:rPr>
          <w:rFonts w:asciiTheme="minorEastAsia" w:hAnsiTheme="minorEastAsia"/>
          <w:b/>
          <w:sz w:val="28"/>
          <w:szCs w:val="28"/>
        </w:rPr>
      </w:pPr>
      <w:r>
        <w:rPr>
          <w:rFonts w:hint="eastAsia" w:asciiTheme="minorEastAsia" w:hAnsiTheme="minorEastAsia"/>
          <w:b/>
          <w:sz w:val="28"/>
          <w:szCs w:val="28"/>
        </w:rPr>
        <w:t xml:space="preserve">9.学生需要了解回答的问题一般有哪些？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（1）你所学专业名称是什么？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（2）你是否了解该专业的培养目标和培养方案？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（3）入学后有关教师是否对该专业的整体方案进行过介绍？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（4）你已学过的专业课有哪些？专业必修课和专业选修课有哪些？你对专业课程和通识课程的设置安排是否满意？</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（5）你对专业教材的选用是否满意？</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（6）学校的学习氛围如何？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（7）课程考试采取的形式有哪些？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（8）在讲课之前多数教师是否让学生清楚的知道教学进度、课程教学大纲及基本要求？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（9）教师在教学中运用多媒体教学的情况如何？</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（10）通过学习你感觉所熟悉老师的教学水平和实践经验如何？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（11）你对教师的职业道德水平是否满意？</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（12）你对实践教学的内容和安排是否满意？通过实践环节你认为能否加深对理论的理解？你最喜欢的、收益最大的教学形式是什么？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（13）你校教室、实验室、图书馆、电子阅览室、运动场馆及体育设施开放与使用情况？</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（14）学校伙食、生活条件如何？</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（15）你们的学习负担情况如何？有多少课余活动时间？主要开展哪些活动？</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（16）有没有看过学校的校园网和网上资源？</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（17）你对自己专业知识掌握程度及实践能力是否满意？</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（18）你对整体教学服务、师资的水平是否满意？</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（19）你对教学质量的总体满意程度？</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（20）你对学校的教学工作有什么建议？</w:t>
      </w:r>
    </w:p>
    <w:p>
      <w:pPr>
        <w:widowControl/>
        <w:jc w:val="left"/>
        <w:rPr>
          <w:b/>
          <w:sz w:val="32"/>
          <w:szCs w:val="32"/>
        </w:rPr>
      </w:pPr>
      <w:r>
        <w:rPr>
          <w:b/>
          <w:sz w:val="32"/>
          <w:szCs w:val="32"/>
        </w:rPr>
        <w:br w:type="page"/>
      </w:r>
    </w:p>
    <w:p>
      <w:pPr>
        <w:spacing w:before="163" w:beforeLines="50" w:after="163" w:afterLines="50" w:line="400" w:lineRule="exact"/>
        <w:ind w:firstLine="643" w:firstLineChars="200"/>
        <w:jc w:val="center"/>
        <w:rPr>
          <w:b/>
          <w:sz w:val="32"/>
          <w:szCs w:val="32"/>
        </w:rPr>
      </w:pPr>
      <w:r>
        <w:rPr>
          <w:rFonts w:hint="eastAsia"/>
          <w:b/>
          <w:sz w:val="32"/>
          <w:szCs w:val="32"/>
        </w:rPr>
        <w:t>第四</w:t>
      </w:r>
      <w:r>
        <w:rPr>
          <w:b/>
          <w:sz w:val="32"/>
          <w:szCs w:val="32"/>
        </w:rPr>
        <w:t>部分</w:t>
      </w:r>
      <w:r>
        <w:rPr>
          <w:rFonts w:hint="eastAsia"/>
          <w:b/>
          <w:sz w:val="32"/>
          <w:szCs w:val="32"/>
        </w:rPr>
        <w:t xml:space="preserve"> 机械</w:t>
      </w:r>
      <w:r>
        <w:rPr>
          <w:b/>
          <w:sz w:val="32"/>
          <w:szCs w:val="32"/>
        </w:rPr>
        <w:t>与能源工程学院评建</w:t>
      </w:r>
      <w:r>
        <w:rPr>
          <w:rFonts w:hint="eastAsia"/>
          <w:b/>
          <w:sz w:val="32"/>
          <w:szCs w:val="32"/>
        </w:rPr>
        <w:t>工作</w:t>
      </w: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1.学院</w:t>
      </w:r>
      <w:r>
        <w:rPr>
          <w:rFonts w:asciiTheme="minorEastAsia" w:hAnsiTheme="minorEastAsia"/>
          <w:b/>
        </w:rPr>
        <w:t>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与能源工程学院（简称机能学院）是学校建校之初设立的二级办学单位,其前身为机电工程学系。学院紧密结合地方经济建设和社会发展需求，借鉴德国（FH）人才培养经验，面向机械制造、汽车及零部件和能源环境等行业，培养“学以致用、全面发展”，具有创新精神、实践能力和国际素养的高层次应用型人才。学院现设置：四系（机电工程系、车辆工程系、材料工程系、能源与环境系统工程系），五所（物流技术与装备、汽车零部件及特种车辆、逆向设计与快速制造、微光学制造、节能减排与新能源技术），两中心（实验教学中心、培训中心）；设有“机械设计制造及其自动化”、“材料成型及控制工程”、“车辆工程”、“汽车服务工程”、 “能源与环境系统工程”5个本科专业，其中“机械设计制造及其自动化”为教育部“卓越工程师教育培养计划”首批试点专业，浙江省本科高校“十二五”优势专业；“车辆工程”为浙江省高等学校重点专业；现有浙江省高校重点学科、十三五浙江省一流学科“机械工程”；校重点学科“动力工程及工程热物理”；硕士学位授权学科“机械工程”和专业硕士学位点“车辆工程”；建有国家级工程实践教育中心2个；建有浙江省食品物流装备技术研究重点实验室；建有省高校人才培养模式创新实验区1个、省高校“实训实验教学重点示范中心”1个、省高校“实验教学示范中心”2个、浙江高校产学研联盟中心1个。</w:t>
      </w: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2.浙江省“食品物流装备技术研究”重点实验室简介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针对当前我国食品物流供应链环节中所存在的食品物流安全全程跟踪与控制水平低下、食品物流仓储装备技术落后、食品冷链物流运输装备发展滞后、食品物流装备能耗高、污染大等亟待解决的重大关键问题，结合本学科在物流链全程跟踪、食品智能化节能型仓储、食品冷链物流运输装备、物流装备优化设计与绿色制造等领域的研发优势，重点实验室确立4个主要研究方向：</w:t>
      </w:r>
    </w:p>
    <w:p>
      <w:pPr>
        <w:spacing w:before="163" w:beforeLines="50" w:after="163" w:afterLines="50" w:line="400" w:lineRule="exact"/>
        <w:ind w:firstLine="480" w:firstLineChars="200"/>
        <w:rPr>
          <w:rFonts w:asciiTheme="minorEastAsia" w:hAnsiTheme="minorEastAsia"/>
        </w:rPr>
      </w:pPr>
      <w:r>
        <w:rPr>
          <w:rFonts w:asciiTheme="minorEastAsia" w:hAnsiTheme="minorEastAsia"/>
        </w:rPr>
        <w:t></w:t>
      </w:r>
      <w:r>
        <w:rPr>
          <w:rFonts w:hint="eastAsia" w:asciiTheme="minorEastAsia" w:hAnsiTheme="minorEastAsia"/>
        </w:rPr>
        <w:t>研究方向</w:t>
      </w:r>
      <w:r>
        <w:rPr>
          <w:rFonts w:asciiTheme="minorEastAsia" w:hAnsiTheme="minorEastAsia"/>
        </w:rPr>
        <w:t>1</w:t>
      </w:r>
      <w:r>
        <w:rPr>
          <w:rFonts w:hint="eastAsia" w:asciiTheme="minorEastAsia" w:hAnsiTheme="minorEastAsia"/>
        </w:rPr>
        <w:t>：食品物流安全全程跟踪与控制技术；</w:t>
      </w:r>
    </w:p>
    <w:p>
      <w:pPr>
        <w:spacing w:before="163" w:beforeLines="50" w:after="163" w:afterLines="50" w:line="400" w:lineRule="exact"/>
        <w:ind w:firstLine="480" w:firstLineChars="200"/>
        <w:rPr>
          <w:rFonts w:asciiTheme="minorEastAsia" w:hAnsiTheme="minorEastAsia"/>
        </w:rPr>
      </w:pPr>
      <w:r>
        <w:rPr>
          <w:rFonts w:asciiTheme="minorEastAsia" w:hAnsiTheme="minorEastAsia"/>
        </w:rPr>
        <w:t></w:t>
      </w:r>
      <w:r>
        <w:rPr>
          <w:rFonts w:hint="eastAsia" w:asciiTheme="minorEastAsia" w:hAnsiTheme="minorEastAsia"/>
        </w:rPr>
        <w:t>研究方向</w:t>
      </w:r>
      <w:r>
        <w:rPr>
          <w:rFonts w:asciiTheme="minorEastAsia" w:hAnsiTheme="minorEastAsia"/>
        </w:rPr>
        <w:t>2</w:t>
      </w:r>
      <w:r>
        <w:rPr>
          <w:rFonts w:hint="eastAsia" w:asciiTheme="minorEastAsia" w:hAnsiTheme="minorEastAsia"/>
        </w:rPr>
        <w:t>：食品物流仓储装备制造技术与系统集成；</w:t>
      </w:r>
    </w:p>
    <w:p>
      <w:pPr>
        <w:spacing w:before="163" w:beforeLines="50" w:after="163" w:afterLines="50" w:line="400" w:lineRule="exact"/>
        <w:ind w:firstLine="480" w:firstLineChars="200"/>
        <w:rPr>
          <w:rFonts w:asciiTheme="minorEastAsia" w:hAnsiTheme="minorEastAsia"/>
        </w:rPr>
      </w:pPr>
      <w:r>
        <w:rPr>
          <w:rFonts w:asciiTheme="minorEastAsia" w:hAnsiTheme="minorEastAsia"/>
        </w:rPr>
        <w:t></w:t>
      </w:r>
      <w:r>
        <w:rPr>
          <w:rFonts w:hint="eastAsia" w:asciiTheme="minorEastAsia" w:hAnsiTheme="minorEastAsia"/>
        </w:rPr>
        <w:t>研究方向</w:t>
      </w:r>
      <w:r>
        <w:rPr>
          <w:rFonts w:asciiTheme="minorEastAsia" w:hAnsiTheme="minorEastAsia"/>
        </w:rPr>
        <w:t>3</w:t>
      </w:r>
      <w:r>
        <w:rPr>
          <w:rFonts w:hint="eastAsia" w:asciiTheme="minorEastAsia" w:hAnsiTheme="minorEastAsia"/>
        </w:rPr>
        <w:t>：食品冷链运输装备关键制造技术；</w:t>
      </w:r>
    </w:p>
    <w:p>
      <w:pPr>
        <w:spacing w:before="163" w:beforeLines="50" w:after="163" w:afterLines="50" w:line="400" w:lineRule="exact"/>
        <w:ind w:firstLine="480" w:firstLineChars="200"/>
        <w:rPr>
          <w:rFonts w:asciiTheme="minorEastAsia" w:hAnsiTheme="minorEastAsia"/>
        </w:rPr>
      </w:pPr>
      <w:r>
        <w:rPr>
          <w:rFonts w:asciiTheme="minorEastAsia" w:hAnsiTheme="minorEastAsia"/>
        </w:rPr>
        <w:t></w:t>
      </w:r>
      <w:r>
        <w:rPr>
          <w:rFonts w:hint="eastAsia" w:asciiTheme="minorEastAsia" w:hAnsiTheme="minorEastAsia"/>
        </w:rPr>
        <w:t>研究方向</w:t>
      </w:r>
      <w:r>
        <w:rPr>
          <w:rFonts w:asciiTheme="minorEastAsia" w:hAnsiTheme="minorEastAsia"/>
        </w:rPr>
        <w:t>4</w:t>
      </w:r>
      <w:r>
        <w:rPr>
          <w:rFonts w:hint="eastAsia" w:asciiTheme="minorEastAsia" w:hAnsiTheme="minorEastAsia"/>
        </w:rPr>
        <w:t>：食品物流装备节能环保优化设计与制造。</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通过上述研究方向领域所开展的理论研究及成果转化与产业化广，在食品物流装备技术领域的相关研究达到国内领先、国际先进水平，形成学科自身特色并确立优势，最终建立起政府、行业协会和食品企业三位一体的食品物流溯源系统和食品安全监控体系与追溯机制，为建立食品供应链全程质量溯源公共安全监管体系打下扎实的基础，以推进我国食品现代物流业的健康发展。</w:t>
      </w: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3.机械设计制造及其自动化专业</w:t>
      </w:r>
      <w:r>
        <w:rPr>
          <w:rFonts w:asciiTheme="minorEastAsia" w:hAnsiTheme="minorEastAsia"/>
          <w:b/>
        </w:rPr>
        <w:t>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设计制造及其自动化专业是浙江省重点专业，入选教育部“卓越工程师教育培养计划”首批试点专业和“浙江省高等学校十二五优势专业”建设项目。机械设计制造及其自动化专业培养具有机械设计及制造、计算机技术、自动控制技术的基本理论知识和应用技能，掌握一定外语能力，能胜任现代制造业一线的设计与制造、生产过程组织与管理、项目实施、运行与管理，产品营销与服务等方面工作的国际化、应用型机械工程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设计制造及其自动化专业一直坚持“立足长三角，服务浙江地方经济、培养国际化应用型人才”的专业建设理念，以培养“具备国际化背景，面向生产一线的现场工程师”高层次应用型人才为专业定位，以“卓越工程师教育培养计划”为引导，以全面提升教学质量和培养学生实践创新能力为目标，依托机械工程硕士点、省级重点学科和浙江省食品物流装备技术研究重点实验室建设，利用“机电工程”和“汽车技术”省级实验教学示范中心，根据产业需求和浙江区域经济发展特点，借力行业龙头企业提供的实践实习平台，打造机械设计制造及其自动化专业人才培养体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设计制造及其自动化专业坚持国际化办学之路，自1990年被列为首批中德政府级合作项目以来，先后与德国、美国、韩国、比利时、日本、爱尔兰等国家10多所高校紧密合作，开展了互派硕士研究生、本科生进行联合培养等一系列人才培养合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设计制造及其自动化专业目前拥有教师20人，其中教授、副教授、高级实验师12人，10人具有博士学位；建有“机电工程”省级实验教学示范中心1个、浙江省高校人才培养模式创新实验区1个，在2家行业龙头企业中建立国家级工程实践教育中心，与美国GE公司共建专业实验室，与20多家企业建立实习实践基地，与30多家企业签订毕业生用人协议，与1家国际龙头企业签订联合培养协议。</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4</w:t>
      </w:r>
      <w:r>
        <w:rPr>
          <w:rFonts w:hint="eastAsia" w:asciiTheme="minorEastAsia" w:hAnsiTheme="minorEastAsia"/>
          <w:b/>
        </w:rPr>
        <w:t>.机械设计制造及其自动化专业的培养目标及</w:t>
      </w:r>
      <w:r>
        <w:rPr>
          <w:rFonts w:asciiTheme="minorEastAsia" w:hAnsiTheme="minorEastAsia"/>
          <w:b/>
        </w:rPr>
        <w:t>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培养目标立足于地方经济、社会发展的需要，围绕学校培养具有实践能力、创新精神和国际素养的高素质应用型专门人才的办学定位，致力于培养具有良好社会责任感、职业道德、人文素养及专业技能，在机械工程及其相关领域内从事设计制造、产品开发、自动化技术应用、生产运行与技术管理等工作，能解决机械复杂工程问题的合格机械工程技术人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上述培养目标可以归纳为以下四项：</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目标1：能应用数学和自然科学、机械工程学科基础、工程专业技术及管理等专业知识；</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目标2：具有分析和解决复杂机械工程问题的能力，了解机械工程行业的特点、管理体系和质量标准，能够承担机械工程研究、设计与开发、工程管理等工作；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目标3：具有人文社会科学素养和工程职业道德；具有终生学习能力；能够承担一定社会责任；能够组织团队合作，制定工作计划并进行实施；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目标4：能够应对地方产业升级挑战，掌握新兴技术，具有创新能力，具备可持续发展理念和国际化视野。</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1.工程知识：能够将数学、自然科学、工程基础和专业知识用于解决复杂工程问题。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2.问题分析：能够应用工程科学等的基本原理，识别、表达、并通过文献研究分析复杂机械工程问题，以获得有效结论。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3.设计/开发解决方案：能够针对复杂机械工程问题提出解决方案，设计满足特定需求的系统、单元（部件）或工艺流程，并能够在设计环节中体现创新意识，考虑社会、健康、安全、法律、文化以及环境等因素。</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4.研究：能够基于科学原理并采用科学方法对复杂机械工程问题进行研究，包括设计实验、分析与解释数据、并通过信息综合得到合理有效的结论。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5.使用现代工具：能够针对复杂机械工程问题，开发、选择与使用恰当的技术、资源、现代工程工具和信息技术工具，包括对复杂工程问题的预测与模拟，并能够理解其局限性。</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6.工程与社会：能够基于工程相关背景知识进行合理分析，评价机械工程实践和复杂机械工程问题解决方案对社会、健康、安全、法律以及文化的影响，并理解应承担的责任。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7.环境和可持续发展：能够理解和评价针对复杂机械工程问题的工程实践对环境、社会可持续发展的影响。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8.职业规范：具有人文社会科学素养、社会责任感，能够在机械工程实践中理解并遵守机械工程职业道德和规范，履行责任。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9.个人和团队：能够在多学科背景下的团队中承担个体、团队成员以及负责人的角色。</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10.沟通：能够就复杂机械工程问题与业界同行及社会公众进行有效沟通和交流，包括撰写报告和设计文稿、陈述发言、清晰表达或回应指令。并具备一定的国际视野，能够在跨文化背景下进行沟通和交流。</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11.项目管理：理解并掌握机械工程管理原理与经济决策方法，并能在多学科环境中应用。</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12.终身学习：具有自主学习和终身学习的意识，有不断学习和适应发展的能力。</w:t>
      </w:r>
    </w:p>
    <w:p>
      <w:pPr>
        <w:spacing w:before="163" w:beforeLines="50" w:after="163" w:afterLines="50" w:line="400" w:lineRule="exact"/>
        <w:ind w:firstLine="480" w:firstLineChars="200"/>
        <w:rPr>
          <w:rFonts w:asciiTheme="minorEastAsia" w:hAnsiTheme="minorEastAsia"/>
        </w:rPr>
      </w:pP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5.材料</w:t>
      </w:r>
      <w:r>
        <w:rPr>
          <w:rFonts w:asciiTheme="minorEastAsia" w:hAnsiTheme="minorEastAsia"/>
          <w:b/>
        </w:rPr>
        <w:t>成型及控制工程专业简介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材料成型及控制工程专业培养具有材料成型加工的基础知识与应用能力，能在成型加工领域内从事模具设计制造、试验研究、运行管理等方面工作的国际化、应用型高级工程技术人才。本专业学生主要学习材料科学及材料成型的基础理论与技术，掌握相关设备的设计方法受到现代机械工程师的基本训练，具有从事金属及塑料模具设计、生产组织管理的基本能力。主干课程：工程图学、材料科学基础、工程力学、机械设计、工程材料及机械制造基础、电工电子技术、材料成型设备、数控技术、金属塑性成型原理、冲压工艺及模具设计、模具制造工艺学、CAD/CAM技术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就业方向：学生毕业后可在企事业单位、科研部门从事材料成型技术、模具设计与制造、数控加工技术等工作。每年毕业生在60名左右。</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现在材料成型及控制工程专业有教授3人，副教授4人，博士5人，浙江省151人才二人。现有成型技术及装备实验室、材料成型实验室和焊接实验室等。</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6.</w:t>
      </w:r>
      <w:r>
        <w:rPr>
          <w:rFonts w:hint="eastAsia" w:asciiTheme="minorEastAsia" w:hAnsiTheme="minorEastAsia"/>
          <w:b/>
        </w:rPr>
        <w:t>材料</w:t>
      </w:r>
      <w:r>
        <w:rPr>
          <w:rFonts w:asciiTheme="minorEastAsia" w:hAnsiTheme="minorEastAsia"/>
          <w:b/>
        </w:rPr>
        <w:t>成型及控制工程专业</w:t>
      </w:r>
      <w:r>
        <w:rPr>
          <w:rFonts w:hint="eastAsia" w:asciiTheme="minorEastAsia" w:hAnsiTheme="minorEastAsia"/>
          <w:b/>
        </w:rPr>
        <w:t>培养</w:t>
      </w:r>
      <w:r>
        <w:rPr>
          <w:rFonts w:asciiTheme="minorEastAsia" w:hAnsiTheme="minorEastAsia"/>
          <w:b/>
        </w:rPr>
        <w:t>目标</w:t>
      </w:r>
      <w:r>
        <w:rPr>
          <w:rFonts w:hint="eastAsia" w:asciiTheme="minorEastAsia" w:hAnsiTheme="minorEastAsia"/>
          <w:b/>
        </w:rPr>
        <w:t>及毕业要求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    培养具有一定材料成型技术的基础理论和扎实的专业知识，具有较强的工程实践能力、创新意识与良好的综合素质，懂得经济、管理知识及国际通则，知识、能力、素质协调发展，能胜任现代制造业材料成型技术方面的设计与制造、生产过程组织与管理、项目实施、运行与管理，产品营销与服务等方面工作的高素质应用型成型技术专门人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学生学习工程科学和人文、社会科学的基础知识，重点学习机械设计与制造、计算机应用技术、材料成型技术及模具设计与制造等工程技术基础理论和专业知识，接受成型技术方面的基本训练，培养和训练解决实际工程技术问题的能力，能胜任现代制造业中成型技术及模具设计与制造等方面的工作。</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毕业生的知识、能力和素质应达到以下几方面的要求：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1.工程知识：能够将数学、自然科学、工程基础和专业知识用于解决材料成型的一般和复杂工程问题。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2.问题分析：能够依据并应用数学、物理学、化学、力学、机械学、电工与电子技术、管理学、材料科学等基本原理，通过查阅文献资料，来识别、表达、研究分析复杂材料成型 方面的工程问题，得出有效结论。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设计/开发解决方案：能够针对复杂材料加工、成型过程中的工程问题设计开发出全系统的或分系统的有效解决方案，包括设备、工艺、流程、检验、服务等方面。其设计的解决方案要综合考虑社会、安全、法律、地域文化、环境保护及可持续性发展等因素，并能体现出一定的创新性。</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4.研究：具备基于材料及其加工基本科学原理并利用所学的方法和技术对复杂材料成型及控制工程问题进行实验设计、过程研究、数据采集、计算和解释、信息综合等，得到合理、正确和有效结论的能力。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5.使用现代工具：能够针对材料成型工程中遇到的具体问题，选择、使用或开发合适的仪器、工具、软件资源进行检验、预测或模拟，并能理解其局限性。</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工程与社会：具有基于材料成型及控制工程相关专业背景知识进行分析、评价该领域的工程实践和复杂工程问题的解决方案的能力，能够评价工程问题的解决方案对社会、伦理、安全、法律及文化的影响，并理解应承担的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7.环境和可持续发展：能够理解和评价针对复杂材料成型及控制工程问题的工程实践和解决方案对环境保护和可持续性发展等方面的影响，正确认识工程实践对自然和人类社会的影响。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8.职业规范：具有较好的人文和社会科学素养、社会责任感和法律意识，能够在材料成型及控制工程实践中理解并遵守工程职业道德和规范，正确履行自己的责任。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9.个人和团队：具有一定的团队精神，能够在多学科背景下的工程团队里承担组员、负责人等角色，善于与组员沟通，并能够顺利完成角色互换。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10.沟通：能够就复杂的材料成型及控制工程问题与业界同行及社会公众进行有效沟通和交流，能够撰写工程报告、设计方案、陈述发言，清晰表达自己的见解并相应指令；具有国际和跨文化交流、沟通和合作能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11.项目管理：掌握材料成型及控制工程方面的工程管理原理和经济决策方法，具有在多学科工程实践中应用的能力。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12.终身学习：具有自主学习和终身学习的意识，有不断学习新的工程专业知识和技能并适应科学、技术和工程发展的能力。  </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7</w:t>
      </w:r>
      <w:r>
        <w:rPr>
          <w:rFonts w:hint="eastAsia" w:asciiTheme="minorEastAsia" w:hAnsiTheme="minorEastAsia"/>
          <w:b/>
        </w:rPr>
        <w:t>.车辆</w:t>
      </w:r>
      <w:r>
        <w:rPr>
          <w:rFonts w:asciiTheme="minorEastAsia" w:hAnsiTheme="minorEastAsia"/>
          <w:b/>
        </w:rPr>
        <w:t>工程专业简介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车辆工程专业始建于2003年，现已发展成为浙江省汽车工业的教学和科研基地之一。本专业具有硕士学位、学士学位授予权，是浙江省重点专业、特色专业，具有完善的教学设施和教学试验条件。该专业就业形势多年来一直十分紧俏，受到用人单位的欢迎，为我国的汽车工业做出了贡献。</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专业特色：本专业是浙江省高等院校首批设立的“车辆工程”本科专业，以“扬长避短、错位发展”为办学理念，经过多年的建设，逐步形成了较为鲜明的、以汽车零部件设计制造及营销服务为主的专业人才培养特色。</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专业亮点：具有学术硕士和工程硕士学位授予权的车辆工程专业既是浙江省本科重点建设专业，又是浙江省新兴特色专业。以汽车工程领域的中国工程院院士郭孔辉教授(国内汽车领域第一位院士)为学术顾问，并设有郭孔辉院士领衔的“院士工作室”，本专业现有2个国家级工程实践教育中心和1个省级实验教学示范中心（“浙江省汽车技术实验教学示范中心”），与德国奥斯法利亚应用科学大学共建有“国际合作汽车机电一体化实验室”，现为浙江省汽摩配商会、浙江省内燃机学会、杭州汽车行业协会理事单位和“电动汽车”浙江省产业技术创新战略联盟成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就业去向：本专业坚持“立足浙江、辐射长三角、面向全国”的培养定位，除与浙江省传统汽车及其零部件产业相适应外，为适应我国及浙江省发展新能源汽车战略性新兴产业的形势，根据产业与行业的发展需要，调整培养计划，针对毕业学生就业于车辆工程领域的科研、生产、管理和营销等部门开展笃实培养。学生毕业后可以进入汽车整车制造企业、汽车零部件制造企业、工程机械生产企业、车辆相关的研究所以及汽车、机械相关行业各技术部门，从事汽车设计、制造、试验与检测、汽车营销和汽车制造管理工作；可在国家机关和交通运输管理部门从事相关的规划管理工作，也可在贸易和保险部门从事汽车贸易和保险业务工作，还可在高等院校从事教学与科研工作。</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8.</w:t>
      </w:r>
      <w:r>
        <w:rPr>
          <w:rFonts w:hint="eastAsia" w:asciiTheme="minorEastAsia" w:hAnsiTheme="minorEastAsia"/>
          <w:b/>
        </w:rPr>
        <w:t>车辆</w:t>
      </w:r>
      <w:r>
        <w:rPr>
          <w:rFonts w:asciiTheme="minorEastAsia" w:hAnsiTheme="minorEastAsia"/>
          <w:b/>
        </w:rPr>
        <w:t>专业</w:t>
      </w:r>
      <w:r>
        <w:rPr>
          <w:rFonts w:hint="eastAsia" w:asciiTheme="minorEastAsia" w:hAnsiTheme="minorEastAsia"/>
          <w:b/>
        </w:rPr>
        <w:t>培养</w:t>
      </w:r>
      <w:r>
        <w:rPr>
          <w:rFonts w:asciiTheme="minorEastAsia" w:hAnsiTheme="minorEastAsia"/>
          <w:b/>
        </w:rPr>
        <w:t>目标</w:t>
      </w:r>
      <w:r>
        <w:rPr>
          <w:rFonts w:hint="eastAsia" w:asciiTheme="minorEastAsia" w:hAnsiTheme="minorEastAsia"/>
          <w:b/>
        </w:rPr>
        <w:t>及毕业要求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围绕学校定位和地方社会发展需要，培养具有扎实的基础理论与专业知识，工程专业技术及管理等知识，具有分析问题、解决问题、组织管理、合作交流和终身学习的能力，具有创新意识、社会责任感、职业道德及人文素养，面向地方经济、社会发展的需要，具有较强的工程实践能力、创新意识与良好的综合素质，知识、能力、素质协调发展，能够在汽车制造企业或科研院所、汽车运输企业、汽车销售及售后服务行业，从事汽车及其零部件设计与制造、生产过程组织与管理、营销与服务等工作的“高素质应用型汽车技术专门人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(1)工程知识：牢固而系统地掌握数学、自然科学、工程基础和车辆工程领域的专业知识，能够综合应用上述知识解决车辆设计、制造、电子控制等领域中的复杂工程问题。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(2)问题分析：能够对现代车辆设计、制造及电子控制等领域的复杂工程问题进行识别和表达，并能通过文献资料对上述复杂工程问题加以分析研究。</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(3)设计/开发解决方案：能够在综合考虑工程及法律、文化、环境等社会制约因素的前提下，针对车辆设计、制造及其电子控制中的复杂工程问题，设计/开发相应的能够体现创新意识的解决方案。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(4)研究：能够基于科学原理并采用科学方法对车辆复杂工程问题进行研究，包括设计实验、分析与解释数据、并通过信息综合得到合理有效的结论。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(5)使用现代工具：能够针对车辆复杂工程问题选择与使用恰当的技术、资源、信息和网络技术工具，了解学科的发展前沿，具备较为宽广的学科视野。</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(6)工程与社会：能够理解工程与社会的相互作用关系，评价车辆工程问题解决方案对社会、健康、安全、法律以及文化的影响，并理解应承担的责任。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环境和可持续发展：在车辆工程领域复杂工程问题的实践中，能够理解和评价工程实践对环境、社会可持续发展的影响，并能够将大工程观及可持续性发展的理念贯穿于车辆设计、制造及其电子控制过程的工程实践中。</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(8)职业规范：具有人文社会科学素养、社会责任感，能够在工程实践中理解并遵守工程职业道德和规范，履行责任。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(9)个人与团队：能够在多学科背景下的团队中承担个体、团队成员以及负责人的角色，具备引领型人才素养。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(10)沟通：能够熟练运用工程技术语言与车辆工程专业领域的同行及社会公众进行有效的沟通和交流，并能够在跨文化背景下进行沟通和交流。</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(11)项目管理：具备工程管理原理与经济决策方法，并能在车辆研制所涉及的多学科环境中应用上述知识。</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(12)终身学习：具有自主学习和终身学习的意识，有不断学习和适应车辆工程及相关领域技术和观念发展、变化的能力。</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9</w:t>
      </w:r>
      <w:r>
        <w:rPr>
          <w:rFonts w:hint="eastAsia" w:asciiTheme="minorEastAsia" w:hAnsiTheme="minorEastAsia"/>
          <w:b/>
        </w:rPr>
        <w:t>.汽车服务</w:t>
      </w:r>
      <w:r>
        <w:rPr>
          <w:rFonts w:asciiTheme="minorEastAsia" w:hAnsiTheme="minorEastAsia"/>
          <w:b/>
        </w:rPr>
        <w:t>工程专业简介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我校汽车服务工程专业是培养高素质应用型专门人才的本科专业，专业下设汽车检测与诊断技术和汽车商务技术2个专业方向。专业依托省级汽车技术实验教学示范中心，拥有较为完整的专业实验室，满足了专业实验教学和科研。专业拥有较强的师资队伍，其中高级职称教师占67%，双师型教师占20%。本专业学生主要学习机械制图、工程力学、计算机应用技术、汽车构造、汽车服务工程、汽车维修检测与诊断、汽车营销等基础理论和专业知识，接受工程师的基本技能训练，具有较强的工程实践能力、创新意识与良好的综合素质。学生毕业后能够可从事汽车后市场的技术与管理工作，包括汽车营销，汽车销售与售后服务、汽车检测与诊断、车险鉴定理赔以及汽车贸易、汽车运输技术与管理等汽车服务行业相关工作</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10.</w:t>
      </w:r>
      <w:r>
        <w:rPr>
          <w:rFonts w:hint="eastAsia" w:asciiTheme="minorEastAsia" w:hAnsiTheme="minorEastAsia"/>
          <w:b/>
        </w:rPr>
        <w:t>汽车服务</w:t>
      </w:r>
      <w:r>
        <w:rPr>
          <w:rFonts w:asciiTheme="minorEastAsia" w:hAnsiTheme="minorEastAsia"/>
          <w:b/>
        </w:rPr>
        <w:t>工程专业</w:t>
      </w:r>
      <w:r>
        <w:rPr>
          <w:rFonts w:hint="eastAsia" w:asciiTheme="minorEastAsia" w:hAnsiTheme="minorEastAsia"/>
          <w:b/>
        </w:rPr>
        <w:t>培养</w:t>
      </w:r>
      <w:r>
        <w:rPr>
          <w:rFonts w:asciiTheme="minorEastAsia" w:hAnsiTheme="minorEastAsia"/>
          <w:b/>
        </w:rPr>
        <w:t>目标</w:t>
      </w:r>
      <w:r>
        <w:rPr>
          <w:rFonts w:hint="eastAsia" w:asciiTheme="minorEastAsia" w:hAnsiTheme="minorEastAsia"/>
          <w:b/>
        </w:rPr>
        <w:t>及毕业要求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培养具有扎实的汽车技术服务理论基础，具有较强的工程实践能力、创新意识与良好的综合素质，知识、能力、素质协调发展，能够在汽车制造企业、汽车运输企业、汽车销售及售后服务行业，从事汽车生产服务、技术服务、营销服务、运输服务等汽车服务领域的高素质应用型专门人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（1）能够将数学、自然科学、工程基础和专业知识用于解决汽车服务工程领域的技术问题。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（2）能够应用数学、自然科学和工程科学的基本原理，识别、表达、并通过文献研究分析复杂工程技术问题，以获得有效结论。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（3）能够设计针对汽车服务工程技术问题的解决方案，并能够体现创新理念，考虑社会、健康、安全、法律、文化以及环境等因素。</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（4）能够基于科学原理并采用科学方法对工程技术问题进行研究，包括设计实验、分析与解释数据、并通过信息综合得到合理有效的结论。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（5）能够针对汽车服务工程技术问题，开发、选择与使用恰当的技术、资源、现代工程工具和信息技术工具，包括对复杂工程问题的预测与模拟，并能够理解其局限性。</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（6）能够基于汽车服务工程的相关知识进行合理分析，评价专业工程实践和复杂工程问题解决方案对社会、健康、安全、法律以及文化的影响，并理解应承担的责任。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（7）能够理解和评价针对复杂工程问题的工程实践对环境、社会可持续发展的影响。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（8）具有人文社会科学素养、社会责任感，能够在汽车服务工程实践中理解并遵守工程职业道德和规范，履行责任。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（9）能够在多学科背景下的团队中承担个体、团队成员以及负责人的角色。</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（10）能够就汽车服务工程问题与业界同行及社会公众进行有效沟通和交流，包括撰写报告和设计文稿、陈述发言、清晰表达或回应指令。并具备一定的国际视野，能够在跨文化背景下进行沟通和交流。</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（11）理解并掌握工程项目管理原理与经济决策方法，并能在多学科环境中应用。</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（12）具有自主学习和终身学习的意识，有不断学习和适应发展的能力。</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11</w:t>
      </w:r>
      <w:r>
        <w:rPr>
          <w:rFonts w:hint="eastAsia" w:asciiTheme="minorEastAsia" w:hAnsiTheme="minorEastAsia"/>
          <w:b/>
        </w:rPr>
        <w:t>.能源与</w:t>
      </w:r>
      <w:r>
        <w:rPr>
          <w:rFonts w:asciiTheme="minorEastAsia" w:hAnsiTheme="minorEastAsia"/>
          <w:b/>
        </w:rPr>
        <w:t>环境系统工程专业简介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能源与环境系统工程”已经培养造就了一个结构优化、梯次合理，具有创新精神和创造意识，团结协作、勇于攻关的学术团队。现有教师8名，其中教授及相应高级职称4人，占50%；副教授及相应高级职称2人，占25%；讲师2人，占25%；博士8人，占100%；具有海外（境外）留学和国际访学背景的有7人，占87.5%。学科团队中有浙江省中青年学科带头人2人，浙江省新世纪151人才5人，浙江科技学院青年英才4人（全校至今20人）。本专业逐渐形成了能源装备与自动控制、节能与环保装备科学与技术等人才培养方向。经过多年建设，本学科大力整合相关学科优势资源，在地方财政专项和学校的重点支持下，建成了“燃烧稳定性与污染物控制”，“脉动波强化传热”、“燃料电池堆装配和性能测试”等实验平台，并增添了三维速度、元素分析、烟气成分、燃烧动态特性、风机性能曲线、热流密度、可编程控制器、科学计算、微纳通道强化传热、太阳能电池器件制备与表征、非常规能源类基础研究技术、大气PM2.5弥散机理、CO2再循环燃烧技术等相关的仪器设备，为教师科研和高层次人才培养创造了良好研究条件。本学科经过几年努力，获得了包括浙江省科学技术一等奖等奖项，主持承担国家自然科学基金项目14项、省部级项目30余项，并承揽了一批能源生产装备与环保技术企业委托项目，年均科研经费总额超过200万元。共发表了SCI/EI录用期刊论文近300篇。</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12.</w:t>
      </w:r>
      <w:r>
        <w:rPr>
          <w:rFonts w:hint="eastAsia" w:asciiTheme="minorEastAsia" w:hAnsiTheme="minorEastAsia"/>
          <w:b/>
        </w:rPr>
        <w:t xml:space="preserve"> 能源与</w:t>
      </w:r>
      <w:r>
        <w:rPr>
          <w:rFonts w:asciiTheme="minorEastAsia" w:hAnsiTheme="minorEastAsia"/>
          <w:b/>
        </w:rPr>
        <w:t>环境系统工程专业</w:t>
      </w:r>
      <w:r>
        <w:rPr>
          <w:rFonts w:hint="eastAsia" w:asciiTheme="minorEastAsia" w:hAnsiTheme="minorEastAsia"/>
          <w:b/>
        </w:rPr>
        <w:t>培养</w:t>
      </w:r>
      <w:r>
        <w:rPr>
          <w:rFonts w:asciiTheme="minorEastAsia" w:hAnsiTheme="minorEastAsia"/>
          <w:b/>
        </w:rPr>
        <w:t>目标</w:t>
      </w:r>
      <w:r>
        <w:rPr>
          <w:rFonts w:hint="eastAsia" w:asciiTheme="minorEastAsia" w:hAnsiTheme="minorEastAsia"/>
          <w:b/>
        </w:rPr>
        <w:t>及毕业要求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围绕学校定位和地方社会发展需要，期望学生在毕业后具有工程科学基础、工程专业技术及管理等知识，具有分析问题、解决问题、组织管理、合作交流和终身学习的能力，具有创新意识、社会责任感、职业道德及人文素养，面向地方经济、社会发展的需要，在能源与环境系统工程及其相关领域从事设计与制造、能源生产与环境保护技术应用、技术开发和生产与技术管理等工作，成长为能解决复杂工程问题的合格工程技术人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本专业毕业要求</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（1）能够将数学、自然科学、工程基础和专业知识用于解决复杂工程问题。</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（2）能够应用数学、自然科学和工程科学的基本原理，识别、表达、并通过文献研究分析复杂工程问题，以获得有效结论。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（3）能够设计针对复杂工程问题的解决方案，设计满足特定需求的系统、单元（部件）或工艺流程，并能够在设计环节中体现创新意识，考虑社会、健康、安全、法律、文化以及环境等因素。</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（4）能够基于科学原理并采用科学方法对复杂工程问题进行研究，包括设计实验、分析与解释数据、并通过信息综合得到合理有效的结论。</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（5）能够针对复杂工程问题，开发、选择与使用恰当的技术、资源、现代工程工具和信息技术工具，包括对复杂工程问题的预测与模拟，并能够理解其局限性。</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（6）能够基于工程相关背景知识进行合理分析，评价专业工程实践和复杂工程问题解决方案对社会、健康、安全、法律以及文化的影响，并理解应承担的责任。</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（7）能够理解和评价针对复杂工程问题的工程实践对环境、社会可持续发展的影响。</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（8）具有人文社会科学素养、社会责任感，能够在工程实践中理解并遵守工程职业道德和规范，履行责任。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（9）能够在多学科背景下的团队中承担个体、团队成员以及负责人的角色。</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（10）能够就复杂工程问题与业界同行及社会公众进行有效沟通和交流，包括撰写报告和设计文稿、陈述发言、清晰表达或回应指令。并具备一定的国际视野，能够在跨文化背景下进行沟通和交流。</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（11）理解并掌握工程管理原理与经济决策方法，并能在多学科环境中应用。</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 xml:space="preserve">（12）具有自主学习和终身学习的意识，有不断学习和适应发展的能力。  </w:t>
      </w: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13.学院</w:t>
      </w:r>
      <w:r>
        <w:rPr>
          <w:rFonts w:asciiTheme="minorEastAsia" w:hAnsiTheme="minorEastAsia"/>
          <w:b/>
        </w:rPr>
        <w:t>各个专业特色及主要核心课程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Q1：机械设计制造及其自动化专业的学习（研究）对象是什么？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培养面向现代制造业一线的应用型机械工程师。主要学习机械设计、现代制造技术、机电控制、检测技术、计算机应用技术。</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Q2：机械设计制造及其自动化专业本科核心课程有哪些？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机械制图、理论力学、材料力学、机械原理、机械设计、工程材料与机械制造基础、机械精度设计与测量、机械制造工艺学、液压传动与气动、机电传动与控制、微机原理与接口技术、数控技术等。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Q1：材料成型及控制工程专业的研究对象是什么？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材料成型及控制工程是研究热加工改变材料的微观结构、宏观性能和表面形状，研究热加工过程中的相关工艺因素对材料的影响，解决成型工艺开发、成型设备、工艺优化的理论和方法；研究模具设计理论及方法，研究模具制造中的材料、热处理、加工方法等问题。研究的是国民经济发展的支柱产业。</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Q2：材料成型及控制工程专业有哪些核心、特色课程？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专业课程主要有材料科学基础、工程材料及机械制造基础、机械制造工艺学、材料成型设备、以及液态成型、塑性成型、焊接成型和模具设计制造方面的专业课。</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Q1：车辆工程专业的研究对象是什么？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车辆工程专业是研究汽车及零部件、新能源汽车的研究、开发设计及制造以及进入流通、销售、使用、维修技术服务。它是专业面比较宽涉及多学科的范围，比较广泛，技术门类多，因此，车辆工程专业的研究紧紧围绕相关技术领域涉及汽车技术服务的各类技术性与非技术性服务。</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Q2：车辆工程专业的核心课程、特色课程？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车辆工程专业的核心课程是工程图学、工程力学、机械原理、机械设计、机械制造基础、电工电子学、汽车构造、汽车理论、汽车发动机原理、汽车设计、汽车制造工艺学、汽车电器与电子技术等。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Q1：汽车服务工程专业的研究对象是什么？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汽车服务工程是指汽车从出厂开始进入流通、销售、使用、维修直至报废回收的全过程所涉及的各类技术服务工作组成的有机服务系统。它涉及的范围比较广泛，技术服务门类多，因此，汽车服务工程专业的研究紧紧围绕汽车出厂进入流通领域后直至汽车报废期间的各类技术性与非技术性服务。</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Q2：汽车服务工程专业的核心课程、特色课程？</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我校汽车服务工程专业的核心课程是机械制图、工程力学、机械设计、机械制造基础、电工电子学、汽车构造、汽车理论、汽车发动机原理、汽车服务工程、汽车检测与诊断技术、汽车营销与策划、汽车维修工程、汽车电子商务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Q1：能源与环境系统工程专业的学习（研究）对象是什么？</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热力发电系统、动力电池系统和大气污染治理。</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Q2：本科核心课程有哪些？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《工程热力学》、《工程流体力学》、《传热学》、《锅炉原理》、《汽轮机原理》、《热力环境控制》、《燃烧理论与污染控制》、《热工测试技术》和《热工自动控制原理》等。</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14</w:t>
      </w:r>
      <w:r>
        <w:rPr>
          <w:rFonts w:hint="eastAsia" w:asciiTheme="minorEastAsia" w:hAnsiTheme="minorEastAsia"/>
          <w:b/>
        </w:rPr>
        <w:t>. 本专业有哪些相关的实验室？</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教学实验室拥有包括机电基础省级实验教学示范中心（力学实验室、工程材料与热处理实验室、硬度测试实验室、金相分析实验室、机械精度设计与测量实验室、三坐标实验室、机械原理实验室、机械设计实验室、创新设计实验室、机械设计认知实验室、液压传动与气动实验室）、CAD/CAM实验中心实验室（CAD/CAM实验室、快速成型实验室、数控技术实验室）、机电控制实验中心实验室（机电传动与控制实验室、GE校企共建实验室、柔性制造系统实验室）和省重点食品物流装备实验室在内的四个建制实验室。</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15</w:t>
      </w:r>
      <w:r>
        <w:rPr>
          <w:rFonts w:hint="eastAsia" w:asciiTheme="minorEastAsia" w:hAnsiTheme="minorEastAsia"/>
          <w:b/>
        </w:rPr>
        <w:t>. 本专业有哪些校外实践基地？</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杭叉工程机械集团股份有限公司、浙江金固股份有限公司、杭州杭重铸锻公司、鸿雁电器集团有限公司、杭州手表有限公司、浙江天煌科技实业有限公司、南方泵业、杭州项淮机械有限公司、杭州依维柯汽车变速器有限公司、杭州泰尚机械有限公司、杭州德宝机电制造有限公司、浙江中控技术股份有限公司、嘉兴市中王表面处理科技有限公司等。</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16</w:t>
      </w:r>
      <w:r>
        <w:rPr>
          <w:rFonts w:hint="eastAsia" w:asciiTheme="minorEastAsia" w:hAnsiTheme="minorEastAsia"/>
          <w:b/>
        </w:rPr>
        <w:t>. 学生还可以利用学校哪些资源？</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开放的图书馆资源: 学校图书馆网站的所有电子图书及数据库均向学生开放，每年举行各类讲座向学生介绍网络资源的使用方法。学校为学生配备了长期开放的计算机房。本专业的大部分专业课程已经开设在“浙江科技学院网络课程平台”上，网站资源包括课程设置、网络课件、参考书目、习题库、在线测试、疑难解答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共享实验室资源：机制专业实验室对学生全天开放，制定开放共享使用管理办法。</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提供数字资源检索指导：学校图书馆教师定期为学生开设“资源与服务”讲座，内容包括“图书馆电子资源检索入门”，“中文电子期刊检索利用”，“外文电子期刊检索利用（理工类）”，“外文电子期刊检索利用（人文社科类）”，“专利、标准文献的检索和利用”，“引文数据库检索利用”，“搜索引擎的高级搜索”，“浙江科技学院移动图书馆”等。</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本专业教学环节要求学生利用参考书或者网络资源完成主要课程的教学目标。教师通过课堂提问、讨论课、课程作业或要求提交小论文的方式检查学生课外利用参考书或者网络资源的效果。</w:t>
      </w:r>
    </w:p>
    <w:p>
      <w:pPr>
        <w:spacing w:before="163" w:beforeLines="50" w:after="163" w:afterLines="50" w:line="400" w:lineRule="exact"/>
        <w:ind w:firstLine="482" w:firstLineChars="200"/>
        <w:rPr>
          <w:rFonts w:asciiTheme="minorEastAsia" w:hAnsiTheme="minorEastAsia"/>
          <w:b/>
        </w:rPr>
      </w:pPr>
      <w:r>
        <w:rPr>
          <w:rFonts w:asciiTheme="minorEastAsia" w:hAnsiTheme="minorEastAsia"/>
          <w:b/>
        </w:rPr>
        <w:t>17</w:t>
      </w:r>
      <w:r>
        <w:rPr>
          <w:rFonts w:hint="eastAsia" w:asciiTheme="minorEastAsia" w:hAnsiTheme="minorEastAsia"/>
          <w:b/>
        </w:rPr>
        <w:t>. 校内的实践平台有哪些？</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学校建有工程实训中心，主要承担相关专业的学生进行电子电工实习、金工实习等工程实践活动。工程实训中心每年举办针对各种专业技能证书考试的相关培训。学生在参与这些实践和培训活动之后，可以极大提高动手能力和专业技能。学校还有校级大学生实践创新基地18个，基地的所有资源，包括场地、设施、资料、网络资源等向学生全面开放，鼓励学生充分发挥自主学习和创新的能力。学院有省重点实验室、校机械设计大赛实践基地，为学生提供中试训练平台。提供给学生的平台和机会主要有：全国大学生机械设计大赛、浙江省机械设计大赛、挑战杯大学生创新创业大赛、国家大学生创新创业计划、浙江省大学生科技创新项目、浙江科技学院春萌计划等。</w:t>
      </w:r>
    </w:p>
    <w:p>
      <w:pPr>
        <w:spacing w:before="163" w:beforeLines="50" w:after="163" w:afterLines="50" w:line="400" w:lineRule="exact"/>
        <w:ind w:firstLine="482" w:firstLineChars="200"/>
        <w:rPr>
          <w:rFonts w:asciiTheme="minorEastAsia" w:hAnsiTheme="minorEastAsia"/>
          <w:b/>
        </w:rPr>
      </w:pPr>
      <w:r>
        <w:rPr>
          <w:rFonts w:hint="eastAsia" w:asciiTheme="minorEastAsia" w:hAnsiTheme="minorEastAsia"/>
          <w:b/>
        </w:rPr>
        <w:t xml:space="preserve">18.学院的实践教学架构是怎样的？ </w:t>
      </w:r>
    </w:p>
    <w:p>
      <w:pPr>
        <w:spacing w:before="163" w:beforeLines="50" w:after="163" w:afterLines="50" w:line="400" w:lineRule="exact"/>
        <w:ind w:firstLine="480" w:firstLineChars="200"/>
        <w:rPr>
          <w:rFonts w:asciiTheme="minorEastAsia" w:hAnsiTheme="minorEastAsia"/>
        </w:rPr>
      </w:pPr>
      <w:r>
        <w:rPr>
          <w:rFonts w:hint="eastAsia" w:asciiTheme="minorEastAsia" w:hAnsiTheme="minorEastAsia"/>
        </w:rPr>
        <w:t>学院现已构建了兼顾基础实践教学和专业技能训练、突出创新意识与创业能力培养的“三层次、四模块”实践教学体系。将实践教学活动划分为三个递进层次，即面向低年级学生开展专业研究认知实习、面向中年级学生开展包括专业课程实验在内的专业综合实习，面向中、高年级学生开展适量科学研究，如开放实验课程，创新创业课程等，同时进行专项设计、技术实习和毕业论文（设计）的独立专业实践活动。</w:t>
      </w:r>
    </w:p>
    <w:sectPr>
      <w:pgSz w:w="11900" w:h="16840"/>
      <w:pgMar w:top="1440" w:right="1080" w:bottom="1440" w:left="108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GJOORT+MicrosoftYaHeiLight">
    <w:altName w:val="微软雅黑"/>
    <w:panose1 w:val="00000000000000000000"/>
    <w:charset w:val="01"/>
    <w:family w:val="swiss"/>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6C92F"/>
    <w:multiLevelType w:val="singleLevel"/>
    <w:tmpl w:val="5A66C92F"/>
    <w:lvl w:ilvl="0" w:tentative="0">
      <w:start w:val="2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40"/>
    <w:rsid w:val="00020BD2"/>
    <w:rsid w:val="000369EA"/>
    <w:rsid w:val="00075AC3"/>
    <w:rsid w:val="000A5823"/>
    <w:rsid w:val="000B68EE"/>
    <w:rsid w:val="000F16F9"/>
    <w:rsid w:val="00103556"/>
    <w:rsid w:val="00122AEB"/>
    <w:rsid w:val="00170B9E"/>
    <w:rsid w:val="001A58F0"/>
    <w:rsid w:val="001E1C22"/>
    <w:rsid w:val="001E6832"/>
    <w:rsid w:val="002158A5"/>
    <w:rsid w:val="002529B6"/>
    <w:rsid w:val="0027129C"/>
    <w:rsid w:val="00277C57"/>
    <w:rsid w:val="00294F4B"/>
    <w:rsid w:val="002D75E7"/>
    <w:rsid w:val="00300C90"/>
    <w:rsid w:val="0031049B"/>
    <w:rsid w:val="00310B27"/>
    <w:rsid w:val="00313385"/>
    <w:rsid w:val="00345260"/>
    <w:rsid w:val="0035136C"/>
    <w:rsid w:val="00357716"/>
    <w:rsid w:val="00370C72"/>
    <w:rsid w:val="00380C11"/>
    <w:rsid w:val="00386FAA"/>
    <w:rsid w:val="00387178"/>
    <w:rsid w:val="003B44D3"/>
    <w:rsid w:val="003B4637"/>
    <w:rsid w:val="003C37C7"/>
    <w:rsid w:val="003D762C"/>
    <w:rsid w:val="003E0CEF"/>
    <w:rsid w:val="003F5E65"/>
    <w:rsid w:val="0040672C"/>
    <w:rsid w:val="00423CDA"/>
    <w:rsid w:val="00455B3C"/>
    <w:rsid w:val="0046287C"/>
    <w:rsid w:val="00473802"/>
    <w:rsid w:val="0047616E"/>
    <w:rsid w:val="004821A1"/>
    <w:rsid w:val="004852DB"/>
    <w:rsid w:val="004867B8"/>
    <w:rsid w:val="00495202"/>
    <w:rsid w:val="004A1D87"/>
    <w:rsid w:val="004C213C"/>
    <w:rsid w:val="004C5CDB"/>
    <w:rsid w:val="004C6650"/>
    <w:rsid w:val="004D1395"/>
    <w:rsid w:val="00530B84"/>
    <w:rsid w:val="00562715"/>
    <w:rsid w:val="00574B0E"/>
    <w:rsid w:val="00584ABC"/>
    <w:rsid w:val="0059273E"/>
    <w:rsid w:val="00605E30"/>
    <w:rsid w:val="006105A8"/>
    <w:rsid w:val="00636540"/>
    <w:rsid w:val="00643FEE"/>
    <w:rsid w:val="006473AA"/>
    <w:rsid w:val="00664EE7"/>
    <w:rsid w:val="00666273"/>
    <w:rsid w:val="006831B0"/>
    <w:rsid w:val="00694982"/>
    <w:rsid w:val="006C51B4"/>
    <w:rsid w:val="006D180E"/>
    <w:rsid w:val="006E1501"/>
    <w:rsid w:val="006E3BFD"/>
    <w:rsid w:val="006F01A2"/>
    <w:rsid w:val="00701BA9"/>
    <w:rsid w:val="007241FE"/>
    <w:rsid w:val="0074342B"/>
    <w:rsid w:val="0074785F"/>
    <w:rsid w:val="00762B5A"/>
    <w:rsid w:val="00780D0A"/>
    <w:rsid w:val="007A4243"/>
    <w:rsid w:val="007A7CC2"/>
    <w:rsid w:val="007C506C"/>
    <w:rsid w:val="007D0C8E"/>
    <w:rsid w:val="007E5247"/>
    <w:rsid w:val="00847983"/>
    <w:rsid w:val="008679E9"/>
    <w:rsid w:val="008C65A3"/>
    <w:rsid w:val="008E195B"/>
    <w:rsid w:val="008E3C23"/>
    <w:rsid w:val="008E560A"/>
    <w:rsid w:val="008E5FE7"/>
    <w:rsid w:val="009217EF"/>
    <w:rsid w:val="00924E0B"/>
    <w:rsid w:val="00936829"/>
    <w:rsid w:val="00980EE4"/>
    <w:rsid w:val="00992393"/>
    <w:rsid w:val="009A112D"/>
    <w:rsid w:val="009A25D8"/>
    <w:rsid w:val="009C038B"/>
    <w:rsid w:val="009C3378"/>
    <w:rsid w:val="009E60CB"/>
    <w:rsid w:val="009F7922"/>
    <w:rsid w:val="00A00196"/>
    <w:rsid w:val="00A32CB4"/>
    <w:rsid w:val="00A33C1E"/>
    <w:rsid w:val="00A46900"/>
    <w:rsid w:val="00A52536"/>
    <w:rsid w:val="00A7222C"/>
    <w:rsid w:val="00A83F50"/>
    <w:rsid w:val="00AB02E9"/>
    <w:rsid w:val="00AD5B15"/>
    <w:rsid w:val="00AE01DA"/>
    <w:rsid w:val="00AE7CCE"/>
    <w:rsid w:val="00AE7D4B"/>
    <w:rsid w:val="00AF00D9"/>
    <w:rsid w:val="00B00022"/>
    <w:rsid w:val="00B13D23"/>
    <w:rsid w:val="00B50319"/>
    <w:rsid w:val="00B5257A"/>
    <w:rsid w:val="00B5399E"/>
    <w:rsid w:val="00B62AAA"/>
    <w:rsid w:val="00B73E46"/>
    <w:rsid w:val="00B74A59"/>
    <w:rsid w:val="00BA3E1A"/>
    <w:rsid w:val="00BD197B"/>
    <w:rsid w:val="00BD7FB7"/>
    <w:rsid w:val="00BE5130"/>
    <w:rsid w:val="00BF762D"/>
    <w:rsid w:val="00C55C08"/>
    <w:rsid w:val="00C65EB5"/>
    <w:rsid w:val="00C751D5"/>
    <w:rsid w:val="00C75940"/>
    <w:rsid w:val="00C95E55"/>
    <w:rsid w:val="00CB0D7C"/>
    <w:rsid w:val="00CB189B"/>
    <w:rsid w:val="00CB40E1"/>
    <w:rsid w:val="00CC3EA6"/>
    <w:rsid w:val="00CD552E"/>
    <w:rsid w:val="00CE1FD2"/>
    <w:rsid w:val="00CE2BC4"/>
    <w:rsid w:val="00CF00A2"/>
    <w:rsid w:val="00D0744C"/>
    <w:rsid w:val="00D22D8A"/>
    <w:rsid w:val="00D32868"/>
    <w:rsid w:val="00D32D4B"/>
    <w:rsid w:val="00D82AC4"/>
    <w:rsid w:val="00D9637A"/>
    <w:rsid w:val="00DA1F5A"/>
    <w:rsid w:val="00DC588E"/>
    <w:rsid w:val="00DD0820"/>
    <w:rsid w:val="00DE3C62"/>
    <w:rsid w:val="00DF2616"/>
    <w:rsid w:val="00E21427"/>
    <w:rsid w:val="00E36753"/>
    <w:rsid w:val="00E46377"/>
    <w:rsid w:val="00E57033"/>
    <w:rsid w:val="00E667D6"/>
    <w:rsid w:val="00E70CDE"/>
    <w:rsid w:val="00E75346"/>
    <w:rsid w:val="00EB3FE5"/>
    <w:rsid w:val="00EB79E3"/>
    <w:rsid w:val="00EE711A"/>
    <w:rsid w:val="00EF3A84"/>
    <w:rsid w:val="00F263B8"/>
    <w:rsid w:val="00F344B6"/>
    <w:rsid w:val="00F37F36"/>
    <w:rsid w:val="00F44410"/>
    <w:rsid w:val="00F56D9D"/>
    <w:rsid w:val="00FB30C6"/>
    <w:rsid w:val="00FB7C50"/>
    <w:rsid w:val="00FC7E55"/>
    <w:rsid w:val="00FD4D37"/>
    <w:rsid w:val="00FF64EC"/>
    <w:rsid w:val="01305A50"/>
    <w:rsid w:val="04270427"/>
    <w:rsid w:val="048111EC"/>
    <w:rsid w:val="0A8A22C6"/>
    <w:rsid w:val="0F9F79FE"/>
    <w:rsid w:val="11DE0391"/>
    <w:rsid w:val="150F5E96"/>
    <w:rsid w:val="16983307"/>
    <w:rsid w:val="1BE95273"/>
    <w:rsid w:val="1EDF7BA9"/>
    <w:rsid w:val="20EB261A"/>
    <w:rsid w:val="258F0523"/>
    <w:rsid w:val="270E60DA"/>
    <w:rsid w:val="28A53EE4"/>
    <w:rsid w:val="2A6A7D40"/>
    <w:rsid w:val="2DBF1EF8"/>
    <w:rsid w:val="32BF6DE0"/>
    <w:rsid w:val="33844010"/>
    <w:rsid w:val="3C5D48C6"/>
    <w:rsid w:val="3E944873"/>
    <w:rsid w:val="3FFB622F"/>
    <w:rsid w:val="41695D79"/>
    <w:rsid w:val="424179C1"/>
    <w:rsid w:val="42F86AEF"/>
    <w:rsid w:val="462175C5"/>
    <w:rsid w:val="48AB0EE6"/>
    <w:rsid w:val="572F0AB2"/>
    <w:rsid w:val="590A7C26"/>
    <w:rsid w:val="5FE9665D"/>
    <w:rsid w:val="62A44B5D"/>
    <w:rsid w:val="68CB4A28"/>
    <w:rsid w:val="6A593205"/>
    <w:rsid w:val="6F4F1B5F"/>
    <w:rsid w:val="702C5473"/>
    <w:rsid w:val="726808E3"/>
    <w:rsid w:val="759765DD"/>
    <w:rsid w:val="77890E02"/>
    <w:rsid w:val="7BEA7B5D"/>
    <w:rsid w:val="7C3A3FEB"/>
    <w:rsid w:val="7E6C50EE"/>
    <w:rsid w:val="7EDB7FE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3"/>
    <w:basedOn w:val="1"/>
    <w:next w:val="1"/>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9">
    <w:name w:val="Default Paragraph Font"/>
    <w:unhideWhenUsed/>
    <w:uiPriority w:val="1"/>
  </w:style>
  <w:style w:type="table" w:default="1" w:styleId="20">
    <w:name w:val="Normal Table"/>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27"/>
    <w:unhideWhenUsed/>
    <w:qFormat/>
    <w:uiPriority w:val="99"/>
    <w:rPr>
      <w:b/>
      <w:bCs/>
    </w:rPr>
  </w:style>
  <w:style w:type="paragraph" w:styleId="4">
    <w:name w:val="annotation text"/>
    <w:basedOn w:val="1"/>
    <w:link w:val="26"/>
    <w:unhideWhenUsed/>
    <w:qFormat/>
    <w:uiPriority w:val="99"/>
    <w:pPr>
      <w:jc w:val="left"/>
    </w:pPr>
  </w:style>
  <w:style w:type="paragraph" w:styleId="5">
    <w:name w:val="Balloon Text"/>
    <w:basedOn w:val="1"/>
    <w:link w:val="28"/>
    <w:unhideWhenUsed/>
    <w:qFormat/>
    <w:uiPriority w:val="99"/>
    <w:rPr>
      <w:sz w:val="18"/>
      <w:szCs w:val="18"/>
    </w:r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character" w:styleId="10">
    <w:name w:val="Strong"/>
    <w:basedOn w:val="9"/>
    <w:qFormat/>
    <w:uiPriority w:val="22"/>
    <w:rPr>
      <w:b/>
      <w:bCs/>
    </w:rPr>
  </w:style>
  <w:style w:type="character" w:styleId="11">
    <w:name w:val="FollowedHyperlink"/>
    <w:basedOn w:val="9"/>
    <w:unhideWhenUsed/>
    <w:qFormat/>
    <w:uiPriority w:val="99"/>
    <w:rPr>
      <w:color w:val="000000"/>
      <w:u w:val="none"/>
    </w:rPr>
  </w:style>
  <w:style w:type="character" w:styleId="12">
    <w:name w:val="Emphasis"/>
    <w:basedOn w:val="9"/>
    <w:qFormat/>
    <w:uiPriority w:val="20"/>
  </w:style>
  <w:style w:type="character" w:styleId="13">
    <w:name w:val="HTML Definition"/>
    <w:basedOn w:val="9"/>
    <w:unhideWhenUsed/>
    <w:qFormat/>
    <w:uiPriority w:val="99"/>
  </w:style>
  <w:style w:type="character" w:styleId="14">
    <w:name w:val="HTML Acronym"/>
    <w:basedOn w:val="9"/>
    <w:unhideWhenUsed/>
    <w:qFormat/>
    <w:uiPriority w:val="99"/>
  </w:style>
  <w:style w:type="character" w:styleId="15">
    <w:name w:val="HTML Variable"/>
    <w:basedOn w:val="9"/>
    <w:unhideWhenUsed/>
    <w:qFormat/>
    <w:uiPriority w:val="99"/>
  </w:style>
  <w:style w:type="character" w:styleId="16">
    <w:name w:val="Hyperlink"/>
    <w:basedOn w:val="9"/>
    <w:unhideWhenUsed/>
    <w:qFormat/>
    <w:uiPriority w:val="99"/>
    <w:rPr>
      <w:color w:val="000000"/>
      <w:u w:val="none"/>
    </w:rPr>
  </w:style>
  <w:style w:type="character" w:styleId="17">
    <w:name w:val="HTML Code"/>
    <w:basedOn w:val="9"/>
    <w:unhideWhenUsed/>
    <w:qFormat/>
    <w:uiPriority w:val="99"/>
    <w:rPr>
      <w:rFonts w:ascii="Courier New" w:hAnsi="Courier New"/>
      <w:sz w:val="20"/>
    </w:rPr>
  </w:style>
  <w:style w:type="character" w:styleId="18">
    <w:name w:val="annotation reference"/>
    <w:basedOn w:val="9"/>
    <w:unhideWhenUsed/>
    <w:qFormat/>
    <w:uiPriority w:val="99"/>
    <w:rPr>
      <w:sz w:val="21"/>
      <w:szCs w:val="21"/>
    </w:rPr>
  </w:style>
  <w:style w:type="character" w:styleId="19">
    <w:name w:val="HTML Cite"/>
    <w:basedOn w:val="9"/>
    <w:unhideWhenUsed/>
    <w:qFormat/>
    <w:uiPriority w:val="99"/>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页眉 Char"/>
    <w:basedOn w:val="9"/>
    <w:link w:val="7"/>
    <w:semiHidden/>
    <w:qFormat/>
    <w:uiPriority w:val="99"/>
    <w:rPr>
      <w:sz w:val="18"/>
      <w:szCs w:val="18"/>
    </w:rPr>
  </w:style>
  <w:style w:type="character" w:customStyle="1" w:styleId="23">
    <w:name w:val="页脚 Char"/>
    <w:basedOn w:val="9"/>
    <w:link w:val="6"/>
    <w:semiHidden/>
    <w:qFormat/>
    <w:uiPriority w:val="99"/>
    <w:rPr>
      <w:sz w:val="18"/>
      <w:szCs w:val="18"/>
    </w:rPr>
  </w:style>
  <w:style w:type="paragraph" w:customStyle="1" w:styleId="24">
    <w:name w:val="Default"/>
    <w:basedOn w:val="1"/>
    <w:qFormat/>
    <w:uiPriority w:val="0"/>
    <w:pPr>
      <w:autoSpaceDE w:val="0"/>
      <w:autoSpaceDN w:val="0"/>
      <w:adjustRightInd w:val="0"/>
      <w:jc w:val="left"/>
    </w:pPr>
    <w:rPr>
      <w:rFonts w:ascii="仿宋" w:hAnsi="仿宋" w:eastAsia="宋体" w:cs="宋体"/>
      <w:color w:val="000000"/>
      <w:kern w:val="0"/>
    </w:rPr>
  </w:style>
  <w:style w:type="character" w:customStyle="1" w:styleId="25">
    <w:name w:val="apple-converted-space"/>
    <w:basedOn w:val="9"/>
    <w:qFormat/>
    <w:uiPriority w:val="0"/>
  </w:style>
  <w:style w:type="character" w:customStyle="1" w:styleId="26">
    <w:name w:val="批注文字 Char"/>
    <w:basedOn w:val="9"/>
    <w:link w:val="4"/>
    <w:semiHidden/>
    <w:qFormat/>
    <w:uiPriority w:val="99"/>
  </w:style>
  <w:style w:type="character" w:customStyle="1" w:styleId="27">
    <w:name w:val="批注主题 Char"/>
    <w:basedOn w:val="26"/>
    <w:link w:val="3"/>
    <w:semiHidden/>
    <w:qFormat/>
    <w:uiPriority w:val="99"/>
    <w:rPr>
      <w:b/>
      <w:bCs/>
    </w:rPr>
  </w:style>
  <w:style w:type="character" w:customStyle="1" w:styleId="28">
    <w:name w:val="批注框文本 Char"/>
    <w:basedOn w:val="9"/>
    <w:link w:val="5"/>
    <w:semiHidden/>
    <w:qFormat/>
    <w:uiPriority w:val="99"/>
    <w:rPr>
      <w:sz w:val="18"/>
      <w:szCs w:val="18"/>
    </w:rPr>
  </w:style>
  <w:style w:type="character" w:customStyle="1" w:styleId="29">
    <w:name w:val="font21"/>
    <w:basedOn w:val="9"/>
    <w:qFormat/>
    <w:uiPriority w:val="0"/>
    <w:rPr>
      <w:rFonts w:hint="default" w:ascii="Arial" w:hAnsi="Arial" w:cs="Arial"/>
      <w:color w:val="000000"/>
      <w:sz w:val="20"/>
      <w:szCs w:val="20"/>
      <w:u w:val="none"/>
    </w:rPr>
  </w:style>
  <w:style w:type="character" w:customStyle="1" w:styleId="30">
    <w:name w:val="font0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70815-666B-49D5-A7A8-32FCAFD0D4E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15263</Words>
  <Characters>16028</Characters>
  <Lines>801</Lines>
  <Paragraphs>845</Paragraphs>
  <TotalTime>0</TotalTime>
  <ScaleCrop>false</ScaleCrop>
  <LinksUpToDate>false</LinksUpToDate>
  <CharactersWithSpaces>30446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2018-04-23T14:05:00Z</dcterms:created>
  <dc:creator>apple QL</dc:creator>
  <cp:lastModifiedBy>小熊</cp:lastModifiedBy>
  <cp:lastPrinted>2018-05-23T02:43:00Z</cp:lastPrinted>
  <dcterms:modified xsi:type="dcterms:W3CDTF">2018-05-23T03:29:32Z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